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3D" w:rsidRPr="00A46A0B" w:rsidRDefault="00563C3D" w:rsidP="00563C3D">
      <w:pPr>
        <w:ind w:left="4820"/>
        <w:contextualSpacing/>
        <w:jc w:val="center"/>
        <w:rPr>
          <w:szCs w:val="28"/>
        </w:rPr>
      </w:pPr>
      <w:r w:rsidRPr="00A46A0B">
        <w:rPr>
          <w:szCs w:val="28"/>
        </w:rPr>
        <w:t>УТВЕРЖДЕН</w:t>
      </w:r>
      <w:r w:rsidR="00DF55D9">
        <w:rPr>
          <w:szCs w:val="28"/>
        </w:rPr>
        <w:t>А</w:t>
      </w:r>
    </w:p>
    <w:p w:rsidR="00563C3D" w:rsidRPr="00A46A0B" w:rsidRDefault="00563C3D" w:rsidP="00563C3D">
      <w:pPr>
        <w:ind w:left="4820" w:right="65"/>
        <w:contextualSpacing/>
        <w:jc w:val="center"/>
        <w:rPr>
          <w:szCs w:val="28"/>
        </w:rPr>
      </w:pPr>
      <w:r w:rsidRPr="003E5AD4">
        <w:rPr>
          <w:szCs w:val="28"/>
        </w:rPr>
        <w:t>распоряжением</w:t>
      </w:r>
      <w:r w:rsidRPr="00A46A0B">
        <w:rPr>
          <w:szCs w:val="28"/>
        </w:rPr>
        <w:t xml:space="preserve"> Администрации</w:t>
      </w:r>
    </w:p>
    <w:p w:rsidR="00563C3D" w:rsidRPr="00A46A0B" w:rsidRDefault="00563C3D" w:rsidP="00563C3D">
      <w:pPr>
        <w:ind w:left="4820"/>
        <w:contextualSpacing/>
        <w:jc w:val="center"/>
        <w:rPr>
          <w:szCs w:val="28"/>
        </w:rPr>
      </w:pPr>
      <w:r w:rsidRPr="00A46A0B">
        <w:rPr>
          <w:szCs w:val="28"/>
        </w:rPr>
        <w:t>муниципального образования</w:t>
      </w:r>
    </w:p>
    <w:p w:rsidR="00563C3D" w:rsidRPr="00A46A0B" w:rsidRDefault="00563C3D" w:rsidP="00563C3D">
      <w:pPr>
        <w:ind w:left="4820"/>
        <w:contextualSpacing/>
        <w:jc w:val="center"/>
        <w:rPr>
          <w:szCs w:val="28"/>
        </w:rPr>
      </w:pPr>
      <w:r w:rsidRPr="00A46A0B">
        <w:rPr>
          <w:szCs w:val="28"/>
        </w:rPr>
        <w:t>«Город Майкоп»</w:t>
      </w:r>
    </w:p>
    <w:p w:rsidR="00563C3D" w:rsidRPr="00A46A0B" w:rsidRDefault="00563C3D" w:rsidP="00563C3D">
      <w:pPr>
        <w:widowControl w:val="0"/>
        <w:ind w:left="4820"/>
        <w:jc w:val="center"/>
        <w:rPr>
          <w:i/>
          <w:szCs w:val="28"/>
        </w:rPr>
      </w:pPr>
      <w:r w:rsidRPr="00A46A0B">
        <w:rPr>
          <w:szCs w:val="28"/>
        </w:rPr>
        <w:t xml:space="preserve">от </w:t>
      </w:r>
      <w:r w:rsidR="002E2226">
        <w:rPr>
          <w:szCs w:val="28"/>
        </w:rPr>
        <w:t>19</w:t>
      </w:r>
      <w:r w:rsidR="002E2226">
        <w:t>.11</w:t>
      </w:r>
      <w:r>
        <w:t xml:space="preserve">.2019 № </w:t>
      </w:r>
      <w:r w:rsidR="002E2226">
        <w:t>2941</w:t>
      </w:r>
      <w:r>
        <w:t>-</w:t>
      </w:r>
      <w:r w:rsidRPr="00A144C7">
        <w:t>р</w:t>
      </w:r>
    </w:p>
    <w:p w:rsidR="00563C3D" w:rsidRPr="00A46A0B" w:rsidRDefault="00563C3D" w:rsidP="00563C3D">
      <w:pPr>
        <w:ind w:left="4820"/>
        <w:contextualSpacing/>
        <w:jc w:val="center"/>
        <w:rPr>
          <w:szCs w:val="28"/>
        </w:rPr>
      </w:pPr>
      <w:r w:rsidRPr="00A46A0B">
        <w:rPr>
          <w:szCs w:val="28"/>
        </w:rPr>
        <w:t xml:space="preserve">в редакции </w:t>
      </w:r>
      <w:r w:rsidRPr="00DE654A">
        <w:rPr>
          <w:bCs/>
          <w:color w:val="000000" w:themeColor="text1"/>
          <w:szCs w:val="28"/>
          <w:shd w:val="clear" w:color="auto" w:fill="FFFFFF"/>
        </w:rPr>
        <w:t>распоряжения</w:t>
      </w:r>
      <w:r w:rsidRPr="00A46A0B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Pr="00A46A0B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A46A0B">
        <w:rPr>
          <w:szCs w:val="28"/>
        </w:rPr>
        <w:t>«Город Майкоп»</w:t>
      </w:r>
    </w:p>
    <w:p w:rsidR="00563C3D" w:rsidRPr="00DF55D9" w:rsidRDefault="00DF55D9" w:rsidP="00563C3D">
      <w:pPr>
        <w:ind w:left="4820"/>
        <w:contextualSpacing/>
        <w:jc w:val="center"/>
        <w:rPr>
          <w:b/>
          <w:szCs w:val="28"/>
        </w:rPr>
      </w:pPr>
      <w:r w:rsidRPr="00DF55D9">
        <w:rPr>
          <w:szCs w:val="28"/>
        </w:rPr>
        <w:t xml:space="preserve">от </w:t>
      </w:r>
      <w:r w:rsidR="009B7C1F">
        <w:rPr>
          <w:i/>
          <w:u w:val="single"/>
        </w:rPr>
        <w:t>30.08.2023   № 1944-р</w:t>
      </w:r>
    </w:p>
    <w:p w:rsidR="001A46D7" w:rsidRDefault="001A46D7" w:rsidP="001A46D7">
      <w:pPr>
        <w:shd w:val="clear" w:color="auto" w:fill="FFFFFF"/>
        <w:tabs>
          <w:tab w:val="left" w:leader="underscore" w:pos="754"/>
          <w:tab w:val="left" w:leader="underscore" w:pos="1867"/>
          <w:tab w:val="left" w:leader="underscore" w:pos="3830"/>
        </w:tabs>
        <w:jc w:val="right"/>
      </w:pPr>
    </w:p>
    <w:p w:rsidR="006606FC" w:rsidRDefault="006606FC" w:rsidP="001A46D7">
      <w:pPr>
        <w:shd w:val="clear" w:color="auto" w:fill="FFFFFF"/>
        <w:tabs>
          <w:tab w:val="left" w:leader="underscore" w:pos="754"/>
          <w:tab w:val="left" w:leader="underscore" w:pos="1867"/>
          <w:tab w:val="left" w:leader="underscore" w:pos="3830"/>
        </w:tabs>
        <w:jc w:val="right"/>
      </w:pPr>
    </w:p>
    <w:p w:rsidR="003E1B84" w:rsidRPr="007654BD" w:rsidRDefault="00D33AD4" w:rsidP="003E1B84">
      <w:pPr>
        <w:jc w:val="center"/>
        <w:rPr>
          <w:b/>
          <w:szCs w:val="28"/>
        </w:rPr>
      </w:pPr>
      <w:r w:rsidRPr="007654BD">
        <w:rPr>
          <w:b/>
          <w:szCs w:val="28"/>
        </w:rPr>
        <w:t>Методика расчета ключевых показателей эффективности функционирования</w:t>
      </w:r>
      <w:r w:rsidR="00301AC3" w:rsidRPr="007654BD">
        <w:rPr>
          <w:b/>
          <w:szCs w:val="28"/>
        </w:rPr>
        <w:t xml:space="preserve"> антимонопольного комплаенса</w:t>
      </w:r>
      <w:r w:rsidRPr="007654BD">
        <w:rPr>
          <w:b/>
          <w:szCs w:val="28"/>
        </w:rPr>
        <w:t xml:space="preserve"> в Администрации</w:t>
      </w:r>
    </w:p>
    <w:p w:rsidR="007654BD" w:rsidRPr="007654BD" w:rsidRDefault="007654BD" w:rsidP="007654BD">
      <w:pPr>
        <w:jc w:val="center"/>
        <w:rPr>
          <w:b/>
          <w:color w:val="000000"/>
          <w:szCs w:val="28"/>
        </w:rPr>
      </w:pPr>
      <w:r w:rsidRPr="007654BD">
        <w:rPr>
          <w:b/>
          <w:color w:val="000000"/>
          <w:szCs w:val="28"/>
        </w:rPr>
        <w:t>муниципального образования «Город Майкоп»</w:t>
      </w:r>
    </w:p>
    <w:p w:rsidR="00D33AD4" w:rsidRDefault="00D33AD4" w:rsidP="00D33AD4">
      <w:pPr>
        <w:jc w:val="center"/>
        <w:rPr>
          <w:b/>
          <w:szCs w:val="28"/>
        </w:rPr>
      </w:pPr>
    </w:p>
    <w:p w:rsidR="00D63F98" w:rsidRPr="00284FAA" w:rsidRDefault="00D63F98" w:rsidP="00D63F98">
      <w:pPr>
        <w:jc w:val="center"/>
        <w:rPr>
          <w:b/>
          <w:szCs w:val="28"/>
        </w:rPr>
      </w:pPr>
      <w:r w:rsidRPr="00284FAA">
        <w:rPr>
          <w:b/>
          <w:szCs w:val="28"/>
        </w:rPr>
        <w:t>I. Общие положения</w:t>
      </w:r>
    </w:p>
    <w:p w:rsidR="00D63F98" w:rsidRDefault="00D63F98" w:rsidP="00D63F98">
      <w:pPr>
        <w:jc w:val="center"/>
        <w:rPr>
          <w:b/>
          <w:szCs w:val="28"/>
        </w:rPr>
      </w:pPr>
    </w:p>
    <w:p w:rsidR="00D63F98" w:rsidRPr="00FE48CD" w:rsidRDefault="0081734E" w:rsidP="00087FB7">
      <w:pPr>
        <w:ind w:firstLine="709"/>
        <w:jc w:val="both"/>
        <w:rPr>
          <w:szCs w:val="28"/>
        </w:rPr>
      </w:pPr>
      <w:r w:rsidRPr="00087FB7">
        <w:rPr>
          <w:szCs w:val="28"/>
        </w:rPr>
        <w:t>1.1</w:t>
      </w:r>
      <w:r w:rsidR="00087FB7" w:rsidRPr="00087FB7">
        <w:rPr>
          <w:szCs w:val="28"/>
        </w:rPr>
        <w:t>.</w:t>
      </w:r>
      <w:r>
        <w:rPr>
          <w:szCs w:val="28"/>
        </w:rPr>
        <w:t xml:space="preserve"> </w:t>
      </w:r>
      <w:r w:rsidR="00470001" w:rsidRPr="00FE48CD">
        <w:rPr>
          <w:szCs w:val="28"/>
        </w:rPr>
        <w:t>Методика расчета ключевых показателей эффективности функционирования антимонопольного комплаенса</w:t>
      </w:r>
      <w:r w:rsidR="008C7BC0" w:rsidRPr="00FE48CD">
        <w:rPr>
          <w:szCs w:val="28"/>
        </w:rPr>
        <w:t xml:space="preserve"> в </w:t>
      </w:r>
      <w:r w:rsidR="008178B4" w:rsidRPr="00957650">
        <w:rPr>
          <w:color w:val="000000"/>
          <w:szCs w:val="28"/>
        </w:rPr>
        <w:t>Администрации муниципального образования «Город Майкоп»</w:t>
      </w:r>
      <w:r w:rsidR="008178B4">
        <w:rPr>
          <w:color w:val="000000"/>
          <w:szCs w:val="28"/>
        </w:rPr>
        <w:t xml:space="preserve"> </w:t>
      </w:r>
      <w:r w:rsidR="008C7BC0" w:rsidRPr="00FE48CD">
        <w:rPr>
          <w:szCs w:val="28"/>
        </w:rPr>
        <w:t>(далее</w:t>
      </w:r>
      <w:r w:rsidR="00445DFF" w:rsidRPr="00FE48CD">
        <w:rPr>
          <w:szCs w:val="28"/>
        </w:rPr>
        <w:t xml:space="preserve"> - </w:t>
      </w:r>
      <w:r w:rsidR="008C7BC0" w:rsidRPr="00FE48CD">
        <w:rPr>
          <w:szCs w:val="28"/>
        </w:rPr>
        <w:t>Методика)</w:t>
      </w:r>
      <w:r w:rsidR="006D643F" w:rsidRPr="00FE48CD">
        <w:rPr>
          <w:szCs w:val="28"/>
        </w:rPr>
        <w:t xml:space="preserve"> разработана</w:t>
      </w:r>
      <w:r w:rsidR="00956C24" w:rsidRPr="00FE48CD">
        <w:rPr>
          <w:szCs w:val="28"/>
        </w:rPr>
        <w:t xml:space="preserve">, в </w:t>
      </w:r>
      <w:r w:rsidR="00D63F98" w:rsidRPr="00FE48CD">
        <w:rPr>
          <w:szCs w:val="28"/>
        </w:rPr>
        <w:t>целях оценки эффективности функционирования</w:t>
      </w:r>
      <w:r w:rsidR="00EE5B54" w:rsidRPr="00FE48CD">
        <w:rPr>
          <w:szCs w:val="28"/>
        </w:rPr>
        <w:t xml:space="preserve"> в Администрации</w:t>
      </w:r>
      <w:r w:rsidR="007654BD">
        <w:rPr>
          <w:szCs w:val="28"/>
        </w:rPr>
        <w:t xml:space="preserve"> </w:t>
      </w:r>
      <w:r w:rsidR="007654BD" w:rsidRPr="00957650">
        <w:rPr>
          <w:color w:val="000000"/>
          <w:szCs w:val="28"/>
        </w:rPr>
        <w:t>муниципального образования «Город Майкоп»</w:t>
      </w:r>
      <w:r w:rsidR="00DB3A3B">
        <w:rPr>
          <w:color w:val="000000"/>
          <w:szCs w:val="28"/>
        </w:rPr>
        <w:t xml:space="preserve"> (далее -</w:t>
      </w:r>
      <w:r w:rsidR="0012255C">
        <w:rPr>
          <w:color w:val="000000"/>
          <w:szCs w:val="28"/>
        </w:rPr>
        <w:t xml:space="preserve"> Администрация)</w:t>
      </w:r>
      <w:r w:rsidR="004D3C03">
        <w:rPr>
          <w:color w:val="000000"/>
          <w:szCs w:val="28"/>
        </w:rPr>
        <w:t xml:space="preserve"> </w:t>
      </w:r>
      <w:r w:rsidR="004E58FA" w:rsidRPr="00FE48CD">
        <w:rPr>
          <w:szCs w:val="28"/>
        </w:rPr>
        <w:t>антимонопольного комплаенса</w:t>
      </w:r>
      <w:r w:rsidR="00956C24" w:rsidRPr="00FE48CD">
        <w:rPr>
          <w:szCs w:val="28"/>
        </w:rPr>
        <w:t>.</w:t>
      </w:r>
      <w:r w:rsidR="007318D4" w:rsidRPr="00FE48CD">
        <w:rPr>
          <w:szCs w:val="28"/>
        </w:rPr>
        <w:t xml:space="preserve"> </w:t>
      </w:r>
      <w:r w:rsidR="00956C24" w:rsidRPr="00FE48CD">
        <w:rPr>
          <w:szCs w:val="28"/>
        </w:rPr>
        <w:t>В</w:t>
      </w:r>
      <w:r w:rsidR="007318D4" w:rsidRPr="00FE48CD">
        <w:rPr>
          <w:color w:val="000000"/>
          <w:szCs w:val="28"/>
        </w:rPr>
        <w:t xml:space="preserve"> соответствии с Методикой рассчитыва</w:t>
      </w:r>
      <w:r w:rsidR="007318D4" w:rsidRPr="00FE48CD">
        <w:rPr>
          <w:color w:val="000000"/>
          <w:szCs w:val="28"/>
        </w:rPr>
        <w:lastRenderedPageBreak/>
        <w:t>ются ключевые показатели эффективности антимонопольного комплаенса</w:t>
      </w:r>
      <w:r w:rsidR="004E58FA" w:rsidRPr="00FE48CD">
        <w:rPr>
          <w:szCs w:val="28"/>
        </w:rPr>
        <w:t xml:space="preserve"> </w:t>
      </w:r>
      <w:r w:rsidR="00D63F98" w:rsidRPr="00FE48CD">
        <w:rPr>
          <w:szCs w:val="28"/>
        </w:rPr>
        <w:t xml:space="preserve">(далее - КПЭ) как для </w:t>
      </w:r>
      <w:r w:rsidR="00A4510C" w:rsidRPr="00FE48CD">
        <w:rPr>
          <w:szCs w:val="28"/>
        </w:rPr>
        <w:t>А</w:t>
      </w:r>
      <w:r w:rsidR="001A3298" w:rsidRPr="00FE48CD">
        <w:rPr>
          <w:szCs w:val="28"/>
        </w:rPr>
        <w:t xml:space="preserve">дминистрации в целом, так </w:t>
      </w:r>
      <w:r w:rsidR="00E209E9" w:rsidRPr="00FE48CD">
        <w:rPr>
          <w:szCs w:val="28"/>
        </w:rPr>
        <w:t>и</w:t>
      </w:r>
      <w:r w:rsidR="00E209E9" w:rsidRPr="00FE48CD">
        <w:rPr>
          <w:b/>
          <w:szCs w:val="28"/>
        </w:rPr>
        <w:t xml:space="preserve"> </w:t>
      </w:r>
      <w:r w:rsidRPr="00FE48CD">
        <w:rPr>
          <w:szCs w:val="28"/>
        </w:rPr>
        <w:t>для</w:t>
      </w:r>
      <w:r>
        <w:rPr>
          <w:b/>
          <w:szCs w:val="28"/>
        </w:rPr>
        <w:t xml:space="preserve"> </w:t>
      </w:r>
      <w:r w:rsidRPr="0081734E">
        <w:rPr>
          <w:szCs w:val="28"/>
        </w:rPr>
        <w:t>уполномоченн</w:t>
      </w:r>
      <w:r w:rsidR="007D1281">
        <w:rPr>
          <w:szCs w:val="28"/>
        </w:rPr>
        <w:t>ого</w:t>
      </w:r>
      <w:r w:rsidRPr="0081734E">
        <w:rPr>
          <w:szCs w:val="28"/>
        </w:rPr>
        <w:t xml:space="preserve"> подразделени</w:t>
      </w:r>
      <w:r w:rsidR="007D1281">
        <w:rPr>
          <w:szCs w:val="28"/>
        </w:rPr>
        <w:t>я</w:t>
      </w:r>
      <w:r w:rsidRPr="0081734E">
        <w:rPr>
          <w:szCs w:val="28"/>
        </w:rPr>
        <w:t xml:space="preserve"> (должностн</w:t>
      </w:r>
      <w:r w:rsidR="007D1281">
        <w:rPr>
          <w:szCs w:val="28"/>
        </w:rPr>
        <w:t>ого</w:t>
      </w:r>
      <w:r w:rsidRPr="0081734E">
        <w:rPr>
          <w:szCs w:val="28"/>
        </w:rPr>
        <w:t xml:space="preserve"> лиц</w:t>
      </w:r>
      <w:r w:rsidR="007D1281">
        <w:rPr>
          <w:szCs w:val="28"/>
        </w:rPr>
        <w:t>а</w:t>
      </w:r>
      <w:r w:rsidRPr="0081734E">
        <w:rPr>
          <w:szCs w:val="28"/>
        </w:rPr>
        <w:t>)</w:t>
      </w:r>
      <w:r>
        <w:rPr>
          <w:szCs w:val="28"/>
        </w:rPr>
        <w:t>, а также</w:t>
      </w:r>
      <w:r>
        <w:rPr>
          <w:b/>
          <w:szCs w:val="28"/>
        </w:rPr>
        <w:t xml:space="preserve"> </w:t>
      </w:r>
      <w:r w:rsidR="00E209E9" w:rsidRPr="00FE48CD">
        <w:rPr>
          <w:szCs w:val="28"/>
        </w:rPr>
        <w:t xml:space="preserve">для </w:t>
      </w:r>
      <w:r w:rsidR="00E209E9" w:rsidRPr="00FE48CD">
        <w:rPr>
          <w:bCs/>
          <w:szCs w:val="28"/>
        </w:rPr>
        <w:t>должностных лиц отраслевых</w:t>
      </w:r>
      <w:r w:rsidR="001A3298" w:rsidRPr="00FE48CD">
        <w:rPr>
          <w:bCs/>
          <w:szCs w:val="28"/>
        </w:rPr>
        <w:t xml:space="preserve"> </w:t>
      </w:r>
      <w:r w:rsidR="00FE48CD" w:rsidRPr="00FE48CD">
        <w:rPr>
          <w:bCs/>
          <w:szCs w:val="28"/>
        </w:rPr>
        <w:t>(функциональных)</w:t>
      </w:r>
      <w:r w:rsidR="00DB081A">
        <w:rPr>
          <w:bCs/>
          <w:szCs w:val="28"/>
        </w:rPr>
        <w:t xml:space="preserve"> структурных</w:t>
      </w:r>
      <w:r w:rsidR="00FE48CD" w:rsidRPr="00FE48CD">
        <w:rPr>
          <w:bCs/>
          <w:szCs w:val="28"/>
        </w:rPr>
        <w:t xml:space="preserve"> подразделений</w:t>
      </w:r>
      <w:r w:rsidR="00FE48CD" w:rsidRPr="00FE48CD">
        <w:rPr>
          <w:b/>
          <w:bCs/>
          <w:szCs w:val="28"/>
        </w:rPr>
        <w:t xml:space="preserve"> </w:t>
      </w:r>
      <w:r w:rsidR="0052460D">
        <w:rPr>
          <w:szCs w:val="28"/>
        </w:rPr>
        <w:t>Администрации.</w:t>
      </w:r>
    </w:p>
    <w:p w:rsidR="001A46D7" w:rsidRPr="00EC4A26" w:rsidRDefault="001A46D7" w:rsidP="001A46D7">
      <w:pPr>
        <w:pStyle w:val="a3"/>
        <w:rPr>
          <w:szCs w:val="28"/>
        </w:rPr>
      </w:pPr>
    </w:p>
    <w:p w:rsidR="00516B8E" w:rsidRDefault="00516B8E" w:rsidP="00516B8E">
      <w:pPr>
        <w:jc w:val="center"/>
        <w:rPr>
          <w:b/>
          <w:szCs w:val="28"/>
        </w:rPr>
      </w:pPr>
      <w:r w:rsidRPr="00284FAA">
        <w:rPr>
          <w:b/>
          <w:szCs w:val="28"/>
        </w:rPr>
        <w:t>II.</w:t>
      </w:r>
      <w:r w:rsidR="00800D31">
        <w:rPr>
          <w:b/>
          <w:szCs w:val="28"/>
        </w:rPr>
        <w:t xml:space="preserve"> </w:t>
      </w:r>
      <w:r w:rsidR="00273027" w:rsidRPr="00857DFB">
        <w:rPr>
          <w:b/>
          <w:szCs w:val="28"/>
        </w:rPr>
        <w:t>Методика расчета</w:t>
      </w:r>
      <w:r w:rsidR="00A863B3" w:rsidRPr="00857DFB">
        <w:rPr>
          <w:b/>
          <w:szCs w:val="28"/>
        </w:rPr>
        <w:t xml:space="preserve"> ключевых показателей эффективности функционирования</w:t>
      </w:r>
      <w:r w:rsidR="00A863B3">
        <w:rPr>
          <w:b/>
          <w:szCs w:val="28"/>
        </w:rPr>
        <w:t xml:space="preserve"> </w:t>
      </w:r>
      <w:r w:rsidR="00A863B3" w:rsidRPr="00301AC3">
        <w:rPr>
          <w:b/>
          <w:szCs w:val="28"/>
        </w:rPr>
        <w:t>антимонопольного комплаенса</w:t>
      </w:r>
      <w:r w:rsidR="00A863B3" w:rsidRPr="00857DFB">
        <w:rPr>
          <w:b/>
          <w:szCs w:val="28"/>
        </w:rPr>
        <w:t xml:space="preserve"> </w:t>
      </w:r>
      <w:r w:rsidRPr="00284FAA">
        <w:rPr>
          <w:b/>
          <w:szCs w:val="28"/>
        </w:rPr>
        <w:t>для Администрации в целом</w:t>
      </w:r>
    </w:p>
    <w:p w:rsidR="00087FB7" w:rsidRDefault="00087FB7" w:rsidP="00516B8E">
      <w:pPr>
        <w:jc w:val="center"/>
        <w:rPr>
          <w:b/>
          <w:szCs w:val="28"/>
        </w:rPr>
      </w:pPr>
    </w:p>
    <w:p w:rsidR="005C79A0" w:rsidRPr="00087FB7" w:rsidRDefault="00DD20BF" w:rsidP="00087F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7FB7">
        <w:rPr>
          <w:color w:val="000000"/>
          <w:sz w:val="28"/>
          <w:szCs w:val="28"/>
        </w:rPr>
        <w:t>2</w:t>
      </w:r>
      <w:r w:rsidR="005C79A0" w:rsidRPr="00087FB7">
        <w:rPr>
          <w:color w:val="000000"/>
          <w:sz w:val="28"/>
          <w:szCs w:val="28"/>
        </w:rPr>
        <w:t>.</w:t>
      </w:r>
      <w:r w:rsidRPr="00087FB7">
        <w:rPr>
          <w:color w:val="000000"/>
          <w:sz w:val="28"/>
          <w:szCs w:val="28"/>
        </w:rPr>
        <w:t>1</w:t>
      </w:r>
      <w:r w:rsidR="00173171" w:rsidRPr="00087FB7">
        <w:rPr>
          <w:color w:val="000000"/>
          <w:sz w:val="28"/>
          <w:szCs w:val="28"/>
        </w:rPr>
        <w:t>.</w:t>
      </w:r>
      <w:r w:rsidR="005C79A0" w:rsidRPr="00087FB7">
        <w:rPr>
          <w:color w:val="000000"/>
          <w:sz w:val="28"/>
          <w:szCs w:val="28"/>
        </w:rPr>
        <w:t xml:space="preserve"> Ключевыми показателями эффективности антимонопольного комплаенса </w:t>
      </w:r>
      <w:r w:rsidR="00306FA8" w:rsidRPr="00087FB7">
        <w:rPr>
          <w:sz w:val="28"/>
          <w:szCs w:val="28"/>
        </w:rPr>
        <w:t>для Администрации</w:t>
      </w:r>
      <w:r w:rsidR="00306FA8" w:rsidRPr="00087FB7">
        <w:rPr>
          <w:color w:val="000000"/>
          <w:sz w:val="28"/>
          <w:szCs w:val="28"/>
        </w:rPr>
        <w:t xml:space="preserve"> </w:t>
      </w:r>
      <w:r w:rsidR="005C79A0" w:rsidRPr="00087FB7">
        <w:rPr>
          <w:color w:val="000000"/>
          <w:sz w:val="28"/>
          <w:szCs w:val="28"/>
        </w:rPr>
        <w:t>в целом являются:</w:t>
      </w:r>
    </w:p>
    <w:p w:rsidR="007272B6" w:rsidRPr="007272B6" w:rsidRDefault="007272B6" w:rsidP="00087FB7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9743A3">
        <w:rPr>
          <w:szCs w:val="28"/>
        </w:rPr>
        <w:t>к</w:t>
      </w:r>
      <w:r w:rsidRPr="007272B6">
        <w:rPr>
          <w:szCs w:val="28"/>
        </w:rPr>
        <w:t>оэффициент снижения количества нарушений антимонопольного законодател</w:t>
      </w:r>
      <w:r w:rsidR="002B4E44">
        <w:rPr>
          <w:szCs w:val="28"/>
        </w:rPr>
        <w:t>ьства со стороны Администрации</w:t>
      </w:r>
      <w:r w:rsidR="00EF5BBA">
        <w:rPr>
          <w:szCs w:val="28"/>
        </w:rPr>
        <w:t xml:space="preserve"> </w:t>
      </w:r>
      <w:r w:rsidR="000A6756" w:rsidRPr="0058337B">
        <w:rPr>
          <w:color w:val="000000"/>
          <w:szCs w:val="28"/>
        </w:rPr>
        <w:t>за предыдущие 3 года</w:t>
      </w:r>
      <w:r w:rsidR="009571D2">
        <w:rPr>
          <w:szCs w:val="28"/>
        </w:rPr>
        <w:t xml:space="preserve">; </w:t>
      </w:r>
    </w:p>
    <w:p w:rsidR="007272B6" w:rsidRPr="007272B6" w:rsidRDefault="007272B6" w:rsidP="00087FB7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CC65DB">
        <w:t>коэффициент эффективности выявления рисков нарушения антимонопольного законодательства в проектах нормативных правовых актов</w:t>
      </w:r>
      <w:r w:rsidR="00CC65DB" w:rsidRPr="007272B6">
        <w:rPr>
          <w:szCs w:val="28"/>
        </w:rPr>
        <w:t xml:space="preserve"> </w:t>
      </w:r>
      <w:r w:rsidR="00CC65DB">
        <w:rPr>
          <w:szCs w:val="28"/>
        </w:rPr>
        <w:t>Администрации</w:t>
      </w:r>
      <w:r w:rsidRPr="007272B6">
        <w:rPr>
          <w:szCs w:val="28"/>
        </w:rPr>
        <w:t>;</w:t>
      </w:r>
    </w:p>
    <w:p w:rsidR="007272B6" w:rsidRDefault="007272B6" w:rsidP="00087FB7">
      <w:pPr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4473B8">
        <w:t xml:space="preserve">коэффициент эффективности выявления нарушений антимонопольного законодательства в нормативных правовых актах </w:t>
      </w:r>
      <w:r w:rsidRPr="007272B6">
        <w:rPr>
          <w:szCs w:val="28"/>
        </w:rPr>
        <w:t>Администрации</w:t>
      </w:r>
      <w:r w:rsidR="00FF1920">
        <w:rPr>
          <w:szCs w:val="28"/>
        </w:rPr>
        <w:t>.</w:t>
      </w:r>
    </w:p>
    <w:p w:rsidR="00156ADA" w:rsidRDefault="00DD20BF" w:rsidP="00087FB7">
      <w:pPr>
        <w:ind w:firstLine="709"/>
        <w:jc w:val="both"/>
        <w:rPr>
          <w:szCs w:val="28"/>
        </w:rPr>
      </w:pPr>
      <w:r w:rsidRPr="00087FB7">
        <w:rPr>
          <w:szCs w:val="28"/>
        </w:rPr>
        <w:t>2.2</w:t>
      </w:r>
      <w:r w:rsidR="00173171" w:rsidRPr="00087FB7">
        <w:rPr>
          <w:szCs w:val="28"/>
        </w:rPr>
        <w:t>.</w:t>
      </w:r>
      <w:r w:rsidR="00156ADA" w:rsidRPr="00087FB7">
        <w:rPr>
          <w:szCs w:val="28"/>
        </w:rPr>
        <w:t xml:space="preserve"> Коэффициент снижения количества нарушений антимонопольно</w:t>
      </w:r>
      <w:r w:rsidR="00B96AB2" w:rsidRPr="00087FB7">
        <w:rPr>
          <w:szCs w:val="28"/>
        </w:rPr>
        <w:t>го законодательства со стороны А</w:t>
      </w:r>
      <w:r w:rsidR="00156ADA" w:rsidRPr="00087FB7">
        <w:rPr>
          <w:szCs w:val="28"/>
        </w:rPr>
        <w:t xml:space="preserve">дминистрации </w:t>
      </w:r>
      <w:r w:rsidR="00246B8F" w:rsidRPr="0058337B">
        <w:rPr>
          <w:color w:val="000000"/>
          <w:szCs w:val="28"/>
        </w:rPr>
        <w:t xml:space="preserve">за предыдущие 3 года </w:t>
      </w:r>
      <w:r w:rsidR="00156ADA" w:rsidRPr="00087FB7">
        <w:rPr>
          <w:szCs w:val="28"/>
        </w:rPr>
        <w:t>рассчитывается по формуле:</w:t>
      </w:r>
    </w:p>
    <w:p w:rsidR="00147E90" w:rsidRPr="00087FB7" w:rsidRDefault="00147E90" w:rsidP="00087FB7">
      <w:pPr>
        <w:ind w:firstLine="709"/>
        <w:jc w:val="both"/>
        <w:rPr>
          <w:szCs w:val="28"/>
        </w:rPr>
      </w:pPr>
    </w:p>
    <w:p w:rsidR="00230947" w:rsidRDefault="00230947" w:rsidP="00230947"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979170" cy="4248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C23BD1" w:rsidRDefault="00156ADA" w:rsidP="00147E90">
      <w:pPr>
        <w:ind w:firstLine="709"/>
        <w:jc w:val="both"/>
      </w:pPr>
      <w:r w:rsidRPr="00D57A71">
        <w:rPr>
          <w:szCs w:val="28"/>
        </w:rPr>
        <w:lastRenderedPageBreak/>
        <w:t>КСН - коэффициент снижения количества нарушений антимонопольного законодательства со стороны Администрации</w:t>
      </w:r>
      <w:r w:rsidR="00C23BD1">
        <w:t>;</w:t>
      </w:r>
    </w:p>
    <w:p w:rsidR="00C46F07" w:rsidRDefault="00FA5421" w:rsidP="008838F9">
      <w:pPr>
        <w:ind w:firstLine="709"/>
        <w:jc w:val="both"/>
        <w:rPr>
          <w:szCs w:val="28"/>
        </w:rPr>
      </w:pPr>
      <w:r w:rsidRPr="00D57A71">
        <w:rPr>
          <w:szCs w:val="28"/>
        </w:rPr>
        <w:t>КН</w:t>
      </w:r>
      <w:r w:rsidR="0037503C">
        <w:rPr>
          <w:szCs w:val="28"/>
        </w:rPr>
        <w:t>П</w:t>
      </w:r>
      <w:r w:rsidR="00173171">
        <w:rPr>
          <w:b/>
          <w:sz w:val="16"/>
          <w:szCs w:val="16"/>
        </w:rPr>
        <w:t xml:space="preserve"> </w:t>
      </w:r>
      <w:r w:rsidR="00156ADA" w:rsidRPr="00D57A71">
        <w:rPr>
          <w:szCs w:val="28"/>
        </w:rPr>
        <w:t>- количество нарушений антимонопольного законодательства со стороны Администрации</w:t>
      </w:r>
      <w:r w:rsidR="0037503C">
        <w:rPr>
          <w:szCs w:val="28"/>
        </w:rPr>
        <w:t>,</w:t>
      </w:r>
      <w:r w:rsidR="005F4D09">
        <w:rPr>
          <w:szCs w:val="28"/>
        </w:rPr>
        <w:t xml:space="preserve"> </w:t>
      </w:r>
      <w:r w:rsidR="005F4D09">
        <w:t>допущенных в отчетном периоде три года ранее</w:t>
      </w:r>
      <w:r w:rsidR="000F512E">
        <w:rPr>
          <w:szCs w:val="28"/>
        </w:rPr>
        <w:t>, ед.</w:t>
      </w:r>
      <w:r w:rsidR="00156ADA" w:rsidRPr="00D57A71">
        <w:rPr>
          <w:szCs w:val="28"/>
        </w:rPr>
        <w:t>;</w:t>
      </w:r>
    </w:p>
    <w:p w:rsidR="00156ADA" w:rsidRDefault="00156ADA" w:rsidP="008838F9">
      <w:pPr>
        <w:ind w:firstLine="709"/>
        <w:jc w:val="both"/>
        <w:rPr>
          <w:szCs w:val="28"/>
        </w:rPr>
      </w:pPr>
      <w:r w:rsidRPr="00D57A71">
        <w:rPr>
          <w:szCs w:val="28"/>
        </w:rPr>
        <w:t>КН</w:t>
      </w:r>
      <w:r w:rsidRPr="00D858A3">
        <w:rPr>
          <w:sz w:val="24"/>
          <w:szCs w:val="24"/>
        </w:rPr>
        <w:t>оп</w:t>
      </w:r>
      <w:r w:rsidRPr="00D57A71">
        <w:rPr>
          <w:szCs w:val="28"/>
        </w:rPr>
        <w:t xml:space="preserve"> - количество нарушений антимонопольного законодательства со стороны Администрации в отчетном периоде</w:t>
      </w:r>
      <w:r w:rsidR="000F512E">
        <w:rPr>
          <w:szCs w:val="28"/>
        </w:rPr>
        <w:t xml:space="preserve">, </w:t>
      </w:r>
      <w:r w:rsidR="00DF16B7">
        <w:t>за который рассчитывается ключевой показатель,</w:t>
      </w:r>
      <w:r w:rsidR="00DF16B7">
        <w:rPr>
          <w:szCs w:val="28"/>
        </w:rPr>
        <w:t xml:space="preserve"> </w:t>
      </w:r>
      <w:r w:rsidR="000F512E">
        <w:rPr>
          <w:szCs w:val="28"/>
        </w:rPr>
        <w:t>ед.</w:t>
      </w:r>
    </w:p>
    <w:p w:rsidR="00BE042E" w:rsidRDefault="00BE042E" w:rsidP="00BE042E">
      <w:pPr>
        <w:ind w:firstLine="709"/>
      </w:pPr>
      <w:r>
        <w:t>Для целей расчета под отчетным периодом понимается календарный год.</w:t>
      </w:r>
    </w:p>
    <w:p w:rsidR="0003644E" w:rsidRDefault="0003644E" w:rsidP="0003644E">
      <w:pPr>
        <w:ind w:firstLine="709"/>
        <w:jc w:val="both"/>
      </w:pPr>
      <w:r>
        <w:t>В случае, если нарушений не допускалось, для целей расчета в соответствующем числителе или знаменателе вместо значения показателя «0» следует использовать значение показателя «0,1</w:t>
      </w:r>
      <w:r w:rsidR="00214C94">
        <w:t>»</w:t>
      </w:r>
      <w:r>
        <w:t>.</w:t>
      </w:r>
    </w:p>
    <w:p w:rsidR="00036A8A" w:rsidRPr="009944EC" w:rsidRDefault="00A7337D" w:rsidP="008838F9">
      <w:pPr>
        <w:ind w:firstLine="709"/>
        <w:jc w:val="both"/>
        <w:rPr>
          <w:szCs w:val="28"/>
        </w:rPr>
      </w:pPr>
      <w:r>
        <w:t xml:space="preserve">При расчете показателя снижения количества нарушений антимонопольного законодательства со стороны </w:t>
      </w:r>
      <w:r w:rsidR="00036A8A">
        <w:rPr>
          <w:szCs w:val="28"/>
        </w:rPr>
        <w:t>А</w:t>
      </w:r>
      <w:r w:rsidR="00036A8A" w:rsidRPr="009944EC">
        <w:rPr>
          <w:szCs w:val="28"/>
        </w:rPr>
        <w:t>дминистрации под нарушением антимонопольно</w:t>
      </w:r>
      <w:r w:rsidR="00276E2C">
        <w:rPr>
          <w:szCs w:val="28"/>
        </w:rPr>
        <w:t>го законодательства со стороны А</w:t>
      </w:r>
      <w:r w:rsidR="00036A8A" w:rsidRPr="009944EC">
        <w:rPr>
          <w:szCs w:val="28"/>
        </w:rPr>
        <w:t>дминистрации понимаются:</w:t>
      </w:r>
    </w:p>
    <w:p w:rsidR="008801E1" w:rsidRDefault="00BA03E0" w:rsidP="008838F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D36EF">
        <w:t>решения по делу о нарушении антимонопольного законодательства, принятые антимонопольным органом в отношении</w:t>
      </w:r>
      <w:r w:rsidR="00036A8A">
        <w:rPr>
          <w:szCs w:val="28"/>
        </w:rPr>
        <w:t xml:space="preserve"> А</w:t>
      </w:r>
      <w:r w:rsidR="00036A8A" w:rsidRPr="009944EC">
        <w:rPr>
          <w:szCs w:val="28"/>
        </w:rPr>
        <w:t xml:space="preserve">дминистрации; </w:t>
      </w:r>
    </w:p>
    <w:p w:rsidR="00036A8A" w:rsidRPr="009944EC" w:rsidRDefault="00BA03E0" w:rsidP="008838F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36A8A" w:rsidRPr="009944EC">
        <w:rPr>
          <w:szCs w:val="28"/>
        </w:rPr>
        <w:t>выданные антим</w:t>
      </w:r>
      <w:r w:rsidR="00036A8A">
        <w:rPr>
          <w:szCs w:val="28"/>
        </w:rPr>
        <w:t>онопольным органом в отношении А</w:t>
      </w:r>
      <w:r w:rsidR="00036A8A" w:rsidRPr="009944EC">
        <w:rPr>
          <w:szCs w:val="28"/>
        </w:rPr>
        <w:t>дминистрации предупреждения о прекращении действий (бездействия), об отмене или изменении актов,</w:t>
      </w:r>
      <w:r w:rsidR="008801E1">
        <w:rPr>
          <w:szCs w:val="28"/>
        </w:rPr>
        <w:t xml:space="preserve"> которые содержат признаки наруш</w:t>
      </w:r>
      <w:r w:rsidR="00036A8A" w:rsidRPr="009944EC">
        <w:rPr>
          <w:szCs w:val="28"/>
        </w:rPr>
        <w:t xml:space="preserve">ения антимонопольного законодательства, либо об устранении </w:t>
      </w:r>
      <w:r w:rsidR="008801E1">
        <w:rPr>
          <w:szCs w:val="28"/>
        </w:rPr>
        <w:t>причин и условий, способствовавш</w:t>
      </w:r>
      <w:r w:rsidR="00036A8A" w:rsidRPr="009944EC">
        <w:rPr>
          <w:szCs w:val="28"/>
        </w:rPr>
        <w:t>их возникнов</w:t>
      </w:r>
      <w:r w:rsidR="008801E1">
        <w:rPr>
          <w:szCs w:val="28"/>
        </w:rPr>
        <w:t>ению такого наруш</w:t>
      </w:r>
      <w:r w:rsidR="00036A8A" w:rsidRPr="009944EC">
        <w:rPr>
          <w:szCs w:val="28"/>
        </w:rPr>
        <w:t xml:space="preserve">ения, и о принятии мер по устранению последствий такого нарушения; </w:t>
      </w:r>
    </w:p>
    <w:p w:rsidR="00036A8A" w:rsidRDefault="00BA03E0" w:rsidP="008838F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36A8A" w:rsidRPr="009944EC">
        <w:rPr>
          <w:szCs w:val="28"/>
        </w:rPr>
        <w:t>направле</w:t>
      </w:r>
      <w:r w:rsidR="00036A8A">
        <w:rPr>
          <w:szCs w:val="28"/>
        </w:rPr>
        <w:t>нные антимонопольным органом в А</w:t>
      </w:r>
      <w:r w:rsidR="00036A8A" w:rsidRPr="009944EC">
        <w:rPr>
          <w:szCs w:val="28"/>
        </w:rPr>
        <w:t>дминистрацию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036A8A" w:rsidRDefault="00036A8A" w:rsidP="00171107">
      <w:pPr>
        <w:jc w:val="both"/>
        <w:rPr>
          <w:szCs w:val="28"/>
        </w:rPr>
      </w:pPr>
    </w:p>
    <w:p w:rsidR="006653C5" w:rsidRDefault="00001FDB" w:rsidP="008838F9">
      <w:pPr>
        <w:ind w:firstLine="709"/>
        <w:jc w:val="both"/>
        <w:rPr>
          <w:szCs w:val="28"/>
        </w:rPr>
      </w:pPr>
      <w:r w:rsidRPr="00461E0A">
        <w:rPr>
          <w:szCs w:val="28"/>
        </w:rPr>
        <w:lastRenderedPageBreak/>
        <w:t>2.3</w:t>
      </w:r>
      <w:r w:rsidR="00F07282" w:rsidRPr="00461E0A">
        <w:rPr>
          <w:szCs w:val="28"/>
        </w:rPr>
        <w:t>.</w:t>
      </w:r>
      <w:r w:rsidR="006374BC" w:rsidRPr="00461E0A">
        <w:rPr>
          <w:szCs w:val="28"/>
        </w:rPr>
        <w:t xml:space="preserve"> </w:t>
      </w:r>
      <w:r w:rsidR="00C0758E">
        <w:t xml:space="preserve">Коэффициент эффективности выявления рисков нарушения антимонопольного законодательства в проектах нормативных правовых актов </w:t>
      </w:r>
      <w:r w:rsidR="00C0758E">
        <w:rPr>
          <w:szCs w:val="28"/>
        </w:rPr>
        <w:t xml:space="preserve">Администрации </w:t>
      </w:r>
      <w:r w:rsidR="00FE7F58" w:rsidRPr="00461E0A">
        <w:rPr>
          <w:szCs w:val="28"/>
        </w:rPr>
        <w:t>рассчитывается по</w:t>
      </w:r>
      <w:r w:rsidR="006374BC" w:rsidRPr="00461E0A">
        <w:rPr>
          <w:szCs w:val="28"/>
        </w:rPr>
        <w:t xml:space="preserve"> формуле:</w:t>
      </w:r>
    </w:p>
    <w:p w:rsidR="00EF4A33" w:rsidRPr="00461E0A" w:rsidRDefault="00EF4A33" w:rsidP="008838F9">
      <w:pPr>
        <w:ind w:firstLine="709"/>
        <w:jc w:val="both"/>
        <w:rPr>
          <w:szCs w:val="28"/>
        </w:rPr>
      </w:pPr>
    </w:p>
    <w:p w:rsidR="00EF4A33" w:rsidRPr="00A757D5" w:rsidRDefault="006653C5" w:rsidP="006653C5">
      <w:pPr>
        <w:rPr>
          <w:color w:val="000000" w:themeColor="text1"/>
        </w:rPr>
      </w:pPr>
      <w:r w:rsidRPr="00A757D5">
        <w:rPr>
          <w:color w:val="000000" w:themeColor="text1"/>
        </w:rPr>
        <w:t xml:space="preserve">                                          </w:t>
      </w:r>
      <w:r w:rsidRPr="00A757D5">
        <w:rPr>
          <w:noProof/>
          <w:color w:val="000000" w:themeColor="text1"/>
        </w:rPr>
        <w:drawing>
          <wp:inline distT="0" distB="0" distL="0" distR="0">
            <wp:extent cx="1216660" cy="424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7D5">
        <w:rPr>
          <w:color w:val="000000" w:themeColor="text1"/>
        </w:rPr>
        <w:t>, где</w:t>
      </w:r>
    </w:p>
    <w:p w:rsidR="006374BC" w:rsidRPr="00461E0A" w:rsidRDefault="007704A0" w:rsidP="008838F9">
      <w:pPr>
        <w:ind w:firstLine="709"/>
        <w:jc w:val="both"/>
        <w:rPr>
          <w:szCs w:val="28"/>
        </w:rPr>
      </w:pPr>
      <w:r w:rsidRPr="003C7986">
        <w:rPr>
          <w:szCs w:val="28"/>
        </w:rPr>
        <w:t>К</w:t>
      </w:r>
      <w:r w:rsidRPr="003C7986">
        <w:rPr>
          <w:sz w:val="24"/>
          <w:szCs w:val="24"/>
        </w:rPr>
        <w:t>эпнпа</w:t>
      </w:r>
      <w:r>
        <w:t xml:space="preserve"> - коэффициент эффективности выявления рисков нарушения антимонопольного законодательства в проектах нормативных правовых актов </w:t>
      </w:r>
      <w:r w:rsidR="000725CE">
        <w:rPr>
          <w:szCs w:val="28"/>
        </w:rPr>
        <w:t>Администрации</w:t>
      </w:r>
      <w:r w:rsidR="00D47659">
        <w:rPr>
          <w:szCs w:val="28"/>
        </w:rPr>
        <w:t>,</w:t>
      </w:r>
      <w:r w:rsidR="00D47659" w:rsidRPr="00D47659">
        <w:rPr>
          <w:szCs w:val="28"/>
        </w:rPr>
        <w:t xml:space="preserve"> </w:t>
      </w:r>
      <w:r w:rsidR="00D47659">
        <w:rPr>
          <w:szCs w:val="28"/>
        </w:rPr>
        <w:t>%</w:t>
      </w:r>
      <w:r w:rsidR="006374BC" w:rsidRPr="00461E0A">
        <w:rPr>
          <w:szCs w:val="28"/>
        </w:rPr>
        <w:t>;</w:t>
      </w:r>
    </w:p>
    <w:p w:rsidR="006374BC" w:rsidRPr="00461E0A" w:rsidRDefault="006374BC" w:rsidP="008838F9">
      <w:pPr>
        <w:ind w:firstLine="709"/>
        <w:jc w:val="both"/>
        <w:rPr>
          <w:szCs w:val="28"/>
        </w:rPr>
      </w:pPr>
      <w:r w:rsidRPr="003C7986">
        <w:rPr>
          <w:szCs w:val="28"/>
        </w:rPr>
        <w:t>К</w:t>
      </w:r>
      <w:r w:rsidR="008838F9" w:rsidRPr="00A77F34">
        <w:rPr>
          <w:sz w:val="24"/>
          <w:szCs w:val="24"/>
        </w:rPr>
        <w:t>пнпа</w:t>
      </w:r>
      <w:r w:rsidRPr="00461E0A">
        <w:rPr>
          <w:szCs w:val="28"/>
        </w:rPr>
        <w:t xml:space="preserve"> - количество проектов нормативных правовых актов Ад</w:t>
      </w:r>
      <w:r w:rsidR="00002504" w:rsidRPr="00461E0A">
        <w:rPr>
          <w:szCs w:val="28"/>
        </w:rPr>
        <w:t>министрации,</w:t>
      </w:r>
      <w:r w:rsidR="009C1DB8" w:rsidRPr="00461E0A">
        <w:rPr>
          <w:szCs w:val="28"/>
        </w:rPr>
        <w:t xml:space="preserve"> в которых </w:t>
      </w:r>
      <w:r w:rsidR="00F07282" w:rsidRPr="00461E0A">
        <w:rPr>
          <w:szCs w:val="28"/>
        </w:rPr>
        <w:t>Администрацией</w:t>
      </w:r>
      <w:r w:rsidRPr="00461E0A">
        <w:rPr>
          <w:szCs w:val="28"/>
        </w:rPr>
        <w:t xml:space="preserve"> выявлены риски нарушения антимонопольного законодательства (в отчетном периоде)</w:t>
      </w:r>
      <w:r w:rsidR="000F512E" w:rsidRPr="00461E0A">
        <w:rPr>
          <w:szCs w:val="28"/>
        </w:rPr>
        <w:t>, ед.</w:t>
      </w:r>
      <w:r w:rsidRPr="00461E0A">
        <w:rPr>
          <w:szCs w:val="28"/>
        </w:rPr>
        <w:t>;</w:t>
      </w:r>
    </w:p>
    <w:p w:rsidR="006374BC" w:rsidRDefault="00D858A3" w:rsidP="008838F9">
      <w:pPr>
        <w:ind w:firstLine="709"/>
        <w:jc w:val="both"/>
        <w:rPr>
          <w:szCs w:val="28"/>
        </w:rPr>
      </w:pPr>
      <w:r w:rsidRPr="00D858A3">
        <w:rPr>
          <w:szCs w:val="28"/>
        </w:rPr>
        <w:t>К</w:t>
      </w:r>
      <w:r w:rsidRPr="00D858A3">
        <w:rPr>
          <w:sz w:val="24"/>
          <w:szCs w:val="24"/>
        </w:rPr>
        <w:t>ноп</w:t>
      </w:r>
      <w:r w:rsidR="006374BC" w:rsidRPr="00461E0A">
        <w:rPr>
          <w:szCs w:val="28"/>
        </w:rPr>
        <w:t xml:space="preserve"> - </w:t>
      </w:r>
      <w:r w:rsidR="00775160" w:rsidRPr="00461E0A">
        <w:rPr>
          <w:szCs w:val="28"/>
        </w:rPr>
        <w:t xml:space="preserve">количество проектов нормативных правовых актов </w:t>
      </w:r>
      <w:r w:rsidR="00A60EE8" w:rsidRPr="00461E0A">
        <w:rPr>
          <w:szCs w:val="28"/>
        </w:rPr>
        <w:t xml:space="preserve">Администрации, </w:t>
      </w:r>
      <w:r w:rsidR="00AD0B65">
        <w:t>в отношении которых антимонопольным органом выданы предостережения о наличии признаков нарушения антимонопольного законодательства (в отчетном периоде)</w:t>
      </w:r>
      <w:r w:rsidR="000F512E" w:rsidRPr="00461E0A">
        <w:rPr>
          <w:szCs w:val="28"/>
        </w:rPr>
        <w:t>, ед.</w:t>
      </w:r>
    </w:p>
    <w:p w:rsidR="006374BC" w:rsidRDefault="004F2D4E" w:rsidP="00712193">
      <w:pPr>
        <w:ind w:firstLine="709"/>
        <w:jc w:val="both"/>
      </w:pPr>
      <w:r>
        <w:t xml:space="preserve">В случае, если за отчетный период в проектах актов антимонопольным органом или </w:t>
      </w:r>
      <w:r w:rsidR="00712193" w:rsidRPr="00461E0A">
        <w:rPr>
          <w:szCs w:val="28"/>
        </w:rPr>
        <w:t>Администрацией</w:t>
      </w:r>
      <w:r w:rsidR="00712193">
        <w:t xml:space="preserve"> </w:t>
      </w:r>
      <w:r>
        <w:t>риски нарушения антимонопольного законодательства не выявлялись, для целей расчета применительно к данному периоду в соответствующем числителе или знаменат</w:t>
      </w:r>
      <w:r w:rsidR="00712193">
        <w:t>еле вместо значения показателя «</w:t>
      </w:r>
      <w:r>
        <w:t>0</w:t>
      </w:r>
      <w:r w:rsidR="00712193">
        <w:t>»</w:t>
      </w:r>
      <w:r>
        <w:t xml:space="preserve"> следует ис</w:t>
      </w:r>
      <w:r w:rsidR="00712193">
        <w:t>пользовать значение показателя «</w:t>
      </w:r>
      <w:r>
        <w:t>0,1</w:t>
      </w:r>
      <w:r w:rsidR="00712193">
        <w:t>»</w:t>
      </w:r>
      <w:r>
        <w:t>.</w:t>
      </w:r>
      <w:bookmarkStart w:id="0" w:name="_GoBack"/>
      <w:bookmarkEnd w:id="0"/>
    </w:p>
    <w:p w:rsidR="00712193" w:rsidRDefault="00712193" w:rsidP="00712193">
      <w:pPr>
        <w:ind w:firstLine="709"/>
        <w:jc w:val="both"/>
        <w:rPr>
          <w:szCs w:val="28"/>
        </w:rPr>
      </w:pPr>
    </w:p>
    <w:p w:rsidR="007F6094" w:rsidRDefault="00070F4B" w:rsidP="000F512E">
      <w:pPr>
        <w:ind w:firstLine="709"/>
        <w:jc w:val="both"/>
        <w:rPr>
          <w:szCs w:val="28"/>
        </w:rPr>
      </w:pPr>
      <w:r w:rsidRPr="000F512E">
        <w:rPr>
          <w:szCs w:val="28"/>
        </w:rPr>
        <w:t>2.4</w:t>
      </w:r>
      <w:r w:rsidR="00C66679" w:rsidRPr="000F512E">
        <w:rPr>
          <w:szCs w:val="28"/>
        </w:rPr>
        <w:t>.</w:t>
      </w:r>
      <w:r w:rsidR="007F6094" w:rsidRPr="000F512E">
        <w:rPr>
          <w:szCs w:val="28"/>
        </w:rPr>
        <w:t xml:space="preserve"> </w:t>
      </w:r>
      <w:r w:rsidR="00AF1F5D">
        <w:t xml:space="preserve">Коэффициент эффективности выявления нарушений антимонопольного законодательства в нормативных правовых актах </w:t>
      </w:r>
      <w:r w:rsidR="007F6094" w:rsidRPr="00614A71">
        <w:rPr>
          <w:szCs w:val="28"/>
        </w:rPr>
        <w:t>Администрации, рассчитывается по формуле:</w:t>
      </w:r>
    </w:p>
    <w:p w:rsidR="00EF4A33" w:rsidRDefault="00EF4A33" w:rsidP="000F512E">
      <w:pPr>
        <w:ind w:firstLine="709"/>
        <w:jc w:val="both"/>
        <w:rPr>
          <w:szCs w:val="28"/>
        </w:rPr>
      </w:pPr>
    </w:p>
    <w:p w:rsidR="00EF4A33" w:rsidRDefault="00906EB3" w:rsidP="00906EB3"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072515" cy="424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2E6EF3" w:rsidRPr="00614A71" w:rsidRDefault="002F0FCB" w:rsidP="000F512E">
      <w:pPr>
        <w:ind w:firstLine="709"/>
        <w:jc w:val="both"/>
        <w:rPr>
          <w:szCs w:val="28"/>
        </w:rPr>
      </w:pPr>
      <w:r>
        <w:lastRenderedPageBreak/>
        <w:t>К</w:t>
      </w:r>
      <w:r w:rsidRPr="00F800EB">
        <w:rPr>
          <w:sz w:val="24"/>
          <w:szCs w:val="24"/>
        </w:rPr>
        <w:t>энпа</w:t>
      </w:r>
      <w:r>
        <w:t xml:space="preserve"> - коэффициент эффективности выявления нарушении антимонопольного законодательства в нормативных правовых актах </w:t>
      </w:r>
      <w:r w:rsidR="000725CE">
        <w:rPr>
          <w:szCs w:val="28"/>
        </w:rPr>
        <w:t>Администрации</w:t>
      </w:r>
      <w:r w:rsidR="006D16D0">
        <w:rPr>
          <w:szCs w:val="28"/>
        </w:rPr>
        <w:t>, %</w:t>
      </w:r>
      <w:r w:rsidR="007F6094" w:rsidRPr="00614A71">
        <w:rPr>
          <w:szCs w:val="28"/>
        </w:rPr>
        <w:t>;</w:t>
      </w:r>
    </w:p>
    <w:p w:rsidR="002E6EF3" w:rsidRPr="00614A71" w:rsidRDefault="00F900B7" w:rsidP="000F512E">
      <w:pPr>
        <w:ind w:firstLine="709"/>
        <w:jc w:val="both"/>
        <w:rPr>
          <w:szCs w:val="28"/>
        </w:rPr>
      </w:pPr>
      <w:r w:rsidRPr="00F800EB">
        <w:rPr>
          <w:szCs w:val="28"/>
        </w:rPr>
        <w:t>К</w:t>
      </w:r>
      <w:r w:rsidR="000F512E" w:rsidRPr="00F800EB">
        <w:rPr>
          <w:sz w:val="24"/>
          <w:szCs w:val="24"/>
        </w:rPr>
        <w:t>нпа</w:t>
      </w:r>
      <w:r w:rsidR="007F6094" w:rsidRPr="00614A71">
        <w:rPr>
          <w:szCs w:val="28"/>
        </w:rPr>
        <w:t xml:space="preserve"> - количество нормативных правовых актов Администрации, в которых </w:t>
      </w:r>
      <w:r w:rsidR="00737737" w:rsidRPr="00614A71">
        <w:rPr>
          <w:szCs w:val="28"/>
        </w:rPr>
        <w:t>Администрацией</w:t>
      </w:r>
      <w:r w:rsidR="007F6094" w:rsidRPr="00614A71">
        <w:rPr>
          <w:szCs w:val="28"/>
        </w:rPr>
        <w:t xml:space="preserve"> выявлены риски нарушения антимонопольного законодательства (в отчетном периоде)</w:t>
      </w:r>
      <w:r w:rsidR="000F512E" w:rsidRPr="00614A71">
        <w:rPr>
          <w:szCs w:val="28"/>
        </w:rPr>
        <w:t>, ед.</w:t>
      </w:r>
      <w:r w:rsidR="007F6094" w:rsidRPr="00614A71">
        <w:rPr>
          <w:szCs w:val="28"/>
        </w:rPr>
        <w:t>;</w:t>
      </w:r>
    </w:p>
    <w:p w:rsidR="007F6094" w:rsidRDefault="007F6094" w:rsidP="000F512E">
      <w:pPr>
        <w:ind w:firstLine="709"/>
        <w:jc w:val="both"/>
        <w:rPr>
          <w:szCs w:val="28"/>
        </w:rPr>
      </w:pPr>
      <w:r w:rsidRPr="00614A71">
        <w:rPr>
          <w:szCs w:val="28"/>
        </w:rPr>
        <w:t>КН</w:t>
      </w:r>
      <w:r w:rsidR="000F512E" w:rsidRPr="00F800EB">
        <w:rPr>
          <w:sz w:val="24"/>
          <w:szCs w:val="24"/>
        </w:rPr>
        <w:t>оп</w:t>
      </w:r>
      <w:r w:rsidRPr="00614A71">
        <w:rPr>
          <w:szCs w:val="28"/>
        </w:rPr>
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</w:r>
      <w:r w:rsidR="000F512E" w:rsidRPr="00614A71">
        <w:rPr>
          <w:szCs w:val="28"/>
        </w:rPr>
        <w:t>, ед</w:t>
      </w:r>
      <w:r w:rsidR="004F4282" w:rsidRPr="00614A71">
        <w:rPr>
          <w:szCs w:val="28"/>
        </w:rPr>
        <w:t>.</w:t>
      </w:r>
    </w:p>
    <w:p w:rsidR="00E5255D" w:rsidRDefault="00E5255D" w:rsidP="00E5255D">
      <w:pPr>
        <w:ind w:firstLine="709"/>
        <w:jc w:val="both"/>
      </w:pPr>
      <w:r>
        <w:t xml:space="preserve">В случае, если за отчетный период нормативные правовые акты, нарушающие антимонопольное законодательство, антимонопольным органом или </w:t>
      </w:r>
      <w:r w:rsidRPr="00461E0A">
        <w:rPr>
          <w:szCs w:val="28"/>
        </w:rPr>
        <w:t>Администрацией</w:t>
      </w:r>
      <w:r>
        <w:t xml:space="preserve"> не выявлялись, для целей расчета применительно к данному периоду в соответствующем числителе или знаменат</w:t>
      </w:r>
      <w:r w:rsidR="00513F58">
        <w:t>еле вместо значения показателя «</w:t>
      </w:r>
      <w:r>
        <w:t>0</w:t>
      </w:r>
      <w:r w:rsidR="00513F58">
        <w:t>»</w:t>
      </w:r>
      <w:r>
        <w:t xml:space="preserve"> следует ис</w:t>
      </w:r>
      <w:r w:rsidR="00513F58">
        <w:t xml:space="preserve">пользовать значение показателя </w:t>
      </w:r>
      <w:r w:rsidR="002B5082">
        <w:t>«</w:t>
      </w:r>
      <w:r>
        <w:t>0,1</w:t>
      </w:r>
      <w:r w:rsidR="002B5082">
        <w:t>»</w:t>
      </w:r>
      <w:r>
        <w:t>.</w:t>
      </w:r>
    </w:p>
    <w:p w:rsidR="00FC38FB" w:rsidRDefault="00FC38FB" w:rsidP="00171107">
      <w:pPr>
        <w:jc w:val="both"/>
        <w:rPr>
          <w:b/>
          <w:szCs w:val="28"/>
        </w:rPr>
      </w:pPr>
    </w:p>
    <w:p w:rsidR="00D47D64" w:rsidRPr="00C06C1D" w:rsidRDefault="00D47D64" w:rsidP="00F75036">
      <w:pPr>
        <w:jc w:val="center"/>
        <w:rPr>
          <w:b/>
          <w:szCs w:val="28"/>
        </w:rPr>
      </w:pPr>
      <w:r w:rsidRPr="00C06C1D">
        <w:rPr>
          <w:b/>
          <w:szCs w:val="28"/>
        </w:rPr>
        <w:t xml:space="preserve">III. </w:t>
      </w:r>
      <w:r w:rsidR="007F43E2" w:rsidRPr="00C06C1D">
        <w:rPr>
          <w:b/>
          <w:szCs w:val="28"/>
        </w:rPr>
        <w:t>Методика расчета клю</w:t>
      </w:r>
      <w:r w:rsidR="005631F4">
        <w:rPr>
          <w:b/>
          <w:szCs w:val="28"/>
        </w:rPr>
        <w:t xml:space="preserve">чевых показателей эффективности </w:t>
      </w:r>
      <w:r w:rsidR="007F43E2" w:rsidRPr="00C06C1D">
        <w:rPr>
          <w:b/>
          <w:szCs w:val="28"/>
        </w:rPr>
        <w:t xml:space="preserve">функционирования антимонопольного комплаенса </w:t>
      </w:r>
      <w:r w:rsidR="00F22D3C" w:rsidRPr="00854F92">
        <w:rPr>
          <w:b/>
          <w:szCs w:val="28"/>
        </w:rPr>
        <w:t xml:space="preserve">для </w:t>
      </w:r>
      <w:r w:rsidR="00976E8A">
        <w:rPr>
          <w:b/>
          <w:szCs w:val="28"/>
        </w:rPr>
        <w:t>уполномоченного</w:t>
      </w:r>
      <w:r w:rsidR="005631F4">
        <w:rPr>
          <w:b/>
          <w:szCs w:val="28"/>
        </w:rPr>
        <w:t xml:space="preserve"> подразделени</w:t>
      </w:r>
      <w:r w:rsidR="00976E8A">
        <w:rPr>
          <w:b/>
          <w:szCs w:val="28"/>
        </w:rPr>
        <w:t>я</w:t>
      </w:r>
      <w:r w:rsidR="005631F4">
        <w:rPr>
          <w:b/>
          <w:szCs w:val="28"/>
        </w:rPr>
        <w:t xml:space="preserve"> (</w:t>
      </w:r>
      <w:r w:rsidR="005631F4" w:rsidRPr="00854F92">
        <w:rPr>
          <w:b/>
          <w:bCs/>
          <w:szCs w:val="28"/>
        </w:rPr>
        <w:t>должностн</w:t>
      </w:r>
      <w:r w:rsidR="00976E8A">
        <w:rPr>
          <w:b/>
          <w:bCs/>
          <w:szCs w:val="28"/>
        </w:rPr>
        <w:t>ого</w:t>
      </w:r>
      <w:r w:rsidR="005631F4" w:rsidRPr="00854F92">
        <w:rPr>
          <w:b/>
          <w:bCs/>
          <w:szCs w:val="28"/>
        </w:rPr>
        <w:t xml:space="preserve"> лиц</w:t>
      </w:r>
      <w:r w:rsidR="00976E8A">
        <w:rPr>
          <w:b/>
          <w:bCs/>
          <w:szCs w:val="28"/>
        </w:rPr>
        <w:t>а</w:t>
      </w:r>
      <w:r w:rsidR="00725DA8">
        <w:rPr>
          <w:b/>
          <w:bCs/>
          <w:szCs w:val="28"/>
        </w:rPr>
        <w:t>) и</w:t>
      </w:r>
      <w:r w:rsidR="005631F4">
        <w:rPr>
          <w:b/>
          <w:bCs/>
          <w:szCs w:val="28"/>
        </w:rPr>
        <w:t xml:space="preserve"> </w:t>
      </w:r>
      <w:r w:rsidR="00F22D3C" w:rsidRPr="00854F92">
        <w:rPr>
          <w:b/>
          <w:bCs/>
          <w:szCs w:val="28"/>
        </w:rPr>
        <w:t xml:space="preserve">должностных лиц отраслевых (функциональных) структурных подразделений </w:t>
      </w:r>
      <w:r w:rsidR="00F22D3C" w:rsidRPr="00854F92">
        <w:rPr>
          <w:b/>
          <w:szCs w:val="28"/>
        </w:rPr>
        <w:t>Администрации</w:t>
      </w:r>
    </w:p>
    <w:p w:rsidR="007F6094" w:rsidRDefault="007F6094" w:rsidP="00171107">
      <w:pPr>
        <w:jc w:val="both"/>
        <w:rPr>
          <w:szCs w:val="28"/>
        </w:rPr>
      </w:pPr>
    </w:p>
    <w:p w:rsidR="00990FAC" w:rsidRPr="00320928" w:rsidRDefault="00737737" w:rsidP="000F512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2E">
        <w:rPr>
          <w:rFonts w:ascii="Times New Roman" w:hAnsi="Times New Roman" w:cs="Times New Roman"/>
          <w:sz w:val="28"/>
          <w:szCs w:val="28"/>
        </w:rPr>
        <w:t>3</w:t>
      </w:r>
      <w:r w:rsidRPr="00320928">
        <w:rPr>
          <w:rFonts w:ascii="Times New Roman" w:hAnsi="Times New Roman" w:cs="Times New Roman"/>
          <w:sz w:val="28"/>
          <w:szCs w:val="28"/>
        </w:rPr>
        <w:t>.1.</w:t>
      </w:r>
      <w:r w:rsidR="00C657AA" w:rsidRPr="00320928">
        <w:rPr>
          <w:rFonts w:ascii="Times New Roman" w:hAnsi="Times New Roman" w:cs="Times New Roman"/>
          <w:sz w:val="28"/>
          <w:szCs w:val="28"/>
        </w:rPr>
        <w:t xml:space="preserve"> Для</w:t>
      </w:r>
      <w:r w:rsidR="00BE347E" w:rsidRPr="00320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1F4" w:rsidRPr="00320928">
        <w:rPr>
          <w:rFonts w:ascii="Times New Roman" w:hAnsi="Times New Roman" w:cs="Times New Roman"/>
          <w:sz w:val="28"/>
          <w:szCs w:val="28"/>
        </w:rPr>
        <w:t>уполномоченн</w:t>
      </w:r>
      <w:r w:rsidR="00E15906" w:rsidRPr="00320928">
        <w:rPr>
          <w:rFonts w:ascii="Times New Roman" w:hAnsi="Times New Roman" w:cs="Times New Roman"/>
          <w:sz w:val="28"/>
          <w:szCs w:val="28"/>
        </w:rPr>
        <w:t>ого</w:t>
      </w:r>
      <w:r w:rsidR="005631F4" w:rsidRPr="00320928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15906" w:rsidRPr="00320928">
        <w:rPr>
          <w:rFonts w:ascii="Times New Roman" w:hAnsi="Times New Roman" w:cs="Times New Roman"/>
          <w:sz w:val="28"/>
          <w:szCs w:val="28"/>
        </w:rPr>
        <w:t>я</w:t>
      </w:r>
      <w:r w:rsidR="005631F4" w:rsidRPr="00320928">
        <w:rPr>
          <w:rFonts w:ascii="Times New Roman" w:hAnsi="Times New Roman" w:cs="Times New Roman"/>
          <w:sz w:val="28"/>
          <w:szCs w:val="28"/>
        </w:rPr>
        <w:t xml:space="preserve"> (</w:t>
      </w:r>
      <w:r w:rsidR="005631F4" w:rsidRPr="00320928">
        <w:rPr>
          <w:rFonts w:ascii="Times New Roman" w:hAnsi="Times New Roman" w:cs="Times New Roman"/>
          <w:bCs/>
          <w:sz w:val="28"/>
          <w:szCs w:val="28"/>
        </w:rPr>
        <w:t>должностн</w:t>
      </w:r>
      <w:r w:rsidR="00E15906" w:rsidRPr="00320928">
        <w:rPr>
          <w:rFonts w:ascii="Times New Roman" w:hAnsi="Times New Roman" w:cs="Times New Roman"/>
          <w:bCs/>
          <w:sz w:val="28"/>
          <w:szCs w:val="28"/>
        </w:rPr>
        <w:t>ого</w:t>
      </w:r>
      <w:r w:rsidR="005631F4" w:rsidRPr="00320928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E15906" w:rsidRPr="00320928">
        <w:rPr>
          <w:rFonts w:ascii="Times New Roman" w:hAnsi="Times New Roman" w:cs="Times New Roman"/>
          <w:bCs/>
          <w:sz w:val="28"/>
          <w:szCs w:val="28"/>
        </w:rPr>
        <w:t>а</w:t>
      </w:r>
      <w:r w:rsidR="005631F4" w:rsidRPr="00320928">
        <w:rPr>
          <w:rFonts w:ascii="Times New Roman" w:hAnsi="Times New Roman" w:cs="Times New Roman"/>
          <w:bCs/>
          <w:sz w:val="28"/>
          <w:szCs w:val="28"/>
        </w:rPr>
        <w:t>)</w:t>
      </w:r>
      <w:r w:rsidR="005631F4" w:rsidRPr="00320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31F4" w:rsidRPr="0032092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E347E" w:rsidRPr="00320928">
        <w:rPr>
          <w:rFonts w:ascii="Times New Roman" w:hAnsi="Times New Roman" w:cs="Times New Roman"/>
          <w:bCs/>
          <w:sz w:val="28"/>
          <w:szCs w:val="28"/>
        </w:rPr>
        <w:t>должностных лиц отраслевых (функциональных) структурных подразделений</w:t>
      </w:r>
      <w:r w:rsidR="00BE347E" w:rsidRPr="00320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1C48" w:rsidRPr="00320928">
        <w:rPr>
          <w:rFonts w:ascii="Times New Roman" w:hAnsi="Times New Roman" w:cs="Times New Roman"/>
          <w:sz w:val="28"/>
          <w:szCs w:val="28"/>
        </w:rPr>
        <w:t>Администрации рассчитывается следующий КПЭ:</w:t>
      </w:r>
    </w:p>
    <w:p w:rsidR="00FB1C48" w:rsidRPr="00320928" w:rsidRDefault="000F512E" w:rsidP="000F512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28">
        <w:rPr>
          <w:rFonts w:ascii="Times New Roman" w:hAnsi="Times New Roman" w:cs="Times New Roman"/>
          <w:sz w:val="28"/>
          <w:szCs w:val="28"/>
        </w:rPr>
        <w:t xml:space="preserve">- </w:t>
      </w:r>
      <w:r w:rsidR="00FB1C48" w:rsidRPr="00320928">
        <w:rPr>
          <w:rFonts w:ascii="Times New Roman" w:hAnsi="Times New Roman" w:cs="Times New Roman"/>
          <w:sz w:val="28"/>
          <w:szCs w:val="28"/>
        </w:rPr>
        <w:t xml:space="preserve">доля сотрудников Администрации, в отношении которых были </w:t>
      </w:r>
      <w:r w:rsidR="00691900" w:rsidRPr="00320928">
        <w:rPr>
          <w:rFonts w:ascii="Times New Roman" w:hAnsi="Times New Roman" w:cs="Times New Roman"/>
          <w:sz w:val="28"/>
          <w:szCs w:val="28"/>
        </w:rPr>
        <w:t xml:space="preserve">проведены обучающие мероприятия </w:t>
      </w:r>
      <w:r w:rsidR="00FB1C48" w:rsidRPr="00320928">
        <w:rPr>
          <w:rFonts w:ascii="Times New Roman" w:hAnsi="Times New Roman" w:cs="Times New Roman"/>
          <w:sz w:val="28"/>
          <w:szCs w:val="28"/>
        </w:rPr>
        <w:t>по антимонопольному законодательству и антимонопольному комплаенсу.</w:t>
      </w:r>
    </w:p>
    <w:p w:rsidR="00FB1C48" w:rsidRDefault="00737737" w:rsidP="000F512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28">
        <w:rPr>
          <w:rFonts w:ascii="Times New Roman" w:hAnsi="Times New Roman" w:cs="Times New Roman"/>
          <w:sz w:val="28"/>
          <w:szCs w:val="28"/>
        </w:rPr>
        <w:t xml:space="preserve">3.2. </w:t>
      </w:r>
      <w:r w:rsidR="00990FAC" w:rsidRPr="00320928">
        <w:rPr>
          <w:rFonts w:ascii="Times New Roman" w:hAnsi="Times New Roman" w:cs="Times New Roman"/>
          <w:sz w:val="28"/>
          <w:szCs w:val="28"/>
        </w:rPr>
        <w:t>Доля сотрудников А</w:t>
      </w:r>
      <w:r w:rsidR="00FB1C48" w:rsidRPr="00320928">
        <w:rPr>
          <w:rFonts w:ascii="Times New Roman" w:hAnsi="Times New Roman" w:cs="Times New Roman"/>
          <w:sz w:val="28"/>
          <w:szCs w:val="28"/>
        </w:rPr>
        <w:t>дминистрации, с которыми были проведены обучающие мероприятия по антимонопольному законодательству и антимонопольному комплаенсу, рассчитывается по формуле:</w:t>
      </w:r>
    </w:p>
    <w:p w:rsidR="00062C10" w:rsidRDefault="00062C10" w:rsidP="000F512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C10" w:rsidRPr="00EF4A33" w:rsidRDefault="000374A0" w:rsidP="000374A0">
      <w:pPr>
        <w:rPr>
          <w:color w:val="000000" w:themeColor="text1"/>
        </w:rPr>
      </w:pPr>
      <w:r w:rsidRPr="00EF4A33">
        <w:rPr>
          <w:color w:val="000000" w:themeColor="text1"/>
        </w:rPr>
        <w:t xml:space="preserve">                                             </w:t>
      </w:r>
      <w:r w:rsidRPr="00EF4A33">
        <w:rPr>
          <w:noProof/>
          <w:color w:val="000000" w:themeColor="text1"/>
        </w:rPr>
        <w:drawing>
          <wp:inline distT="0" distB="0" distL="0" distR="0">
            <wp:extent cx="1050925" cy="4248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A33">
        <w:rPr>
          <w:color w:val="000000" w:themeColor="text1"/>
        </w:rPr>
        <w:t>, где</w:t>
      </w:r>
    </w:p>
    <w:p w:rsidR="00FB1C48" w:rsidRPr="00320928" w:rsidRDefault="001E197D" w:rsidP="000F512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C">
        <w:rPr>
          <w:rFonts w:ascii="Times New Roman" w:hAnsi="Times New Roman" w:cs="Times New Roman"/>
          <w:sz w:val="28"/>
          <w:szCs w:val="28"/>
        </w:rPr>
        <w:t>ДС</w:t>
      </w:r>
      <w:r w:rsidR="000F512E" w:rsidRPr="00B505EC">
        <w:rPr>
          <w:rFonts w:ascii="Times New Roman" w:hAnsi="Times New Roman" w:cs="Times New Roman"/>
          <w:sz w:val="24"/>
          <w:szCs w:val="24"/>
        </w:rPr>
        <w:t>о</w:t>
      </w:r>
      <w:r w:rsidRPr="00B505EC">
        <w:rPr>
          <w:rFonts w:ascii="Times New Roman" w:hAnsi="Times New Roman" w:cs="Times New Roman"/>
          <w:sz w:val="28"/>
          <w:szCs w:val="28"/>
        </w:rPr>
        <w:t xml:space="preserve"> </w:t>
      </w:r>
      <w:r w:rsidRPr="00320928">
        <w:rPr>
          <w:rFonts w:ascii="Times New Roman" w:hAnsi="Times New Roman" w:cs="Times New Roman"/>
          <w:sz w:val="28"/>
          <w:szCs w:val="28"/>
        </w:rPr>
        <w:t>- доля сотрудников А</w:t>
      </w:r>
      <w:r w:rsidR="00FB1C48" w:rsidRPr="00320928">
        <w:rPr>
          <w:rFonts w:ascii="Times New Roman" w:hAnsi="Times New Roman" w:cs="Times New Roman"/>
          <w:sz w:val="28"/>
          <w:szCs w:val="28"/>
        </w:rPr>
        <w:t>дминистрации, с которыми были проведены обучающие мероприятия по антимонопольному законодательству и антимонопольному комплаенсу</w:t>
      </w:r>
      <w:r w:rsidR="000F512E" w:rsidRPr="00320928">
        <w:rPr>
          <w:rFonts w:ascii="Times New Roman" w:hAnsi="Times New Roman" w:cs="Times New Roman"/>
          <w:sz w:val="28"/>
          <w:szCs w:val="28"/>
        </w:rPr>
        <w:t>, %</w:t>
      </w:r>
      <w:r w:rsidR="00FB1C48" w:rsidRPr="00320928">
        <w:rPr>
          <w:rFonts w:ascii="Times New Roman" w:hAnsi="Times New Roman" w:cs="Times New Roman"/>
          <w:sz w:val="28"/>
          <w:szCs w:val="28"/>
        </w:rPr>
        <w:t>;</w:t>
      </w:r>
    </w:p>
    <w:p w:rsidR="00FB1C48" w:rsidRPr="00282EE4" w:rsidRDefault="00FB1C48" w:rsidP="00282EE4">
      <w:pPr>
        <w:ind w:firstLine="709"/>
        <w:jc w:val="both"/>
        <w:rPr>
          <w:szCs w:val="28"/>
        </w:rPr>
      </w:pPr>
      <w:r w:rsidRPr="00282EE4">
        <w:rPr>
          <w:szCs w:val="28"/>
        </w:rPr>
        <w:t>КС</w:t>
      </w:r>
      <w:r w:rsidRPr="00B505EC">
        <w:rPr>
          <w:sz w:val="24"/>
          <w:szCs w:val="24"/>
        </w:rPr>
        <w:t>о</w:t>
      </w:r>
      <w:r w:rsidR="003731B5" w:rsidRPr="00282EE4">
        <w:rPr>
          <w:szCs w:val="28"/>
        </w:rPr>
        <w:t xml:space="preserve"> - количество сотрудников А</w:t>
      </w:r>
      <w:r w:rsidRPr="00282EE4">
        <w:rPr>
          <w:szCs w:val="28"/>
        </w:rPr>
        <w:t xml:space="preserve">дминистрации, </w:t>
      </w:r>
      <w:r w:rsidR="00282EE4">
        <w:t>чьи трудовые (должностные) обязанности предусматривают выполнение функций, связанных с рисками нарушения антимонопольного законодательства, с которыми были проведены обучающие мероприятия по антимонопольному законодательству и антимонопольному комплаенсу,</w:t>
      </w:r>
      <w:r w:rsidR="000F512E" w:rsidRPr="00282EE4">
        <w:rPr>
          <w:szCs w:val="28"/>
        </w:rPr>
        <w:t xml:space="preserve"> чел.</w:t>
      </w:r>
      <w:r w:rsidRPr="00282EE4">
        <w:rPr>
          <w:szCs w:val="28"/>
        </w:rPr>
        <w:t>;</w:t>
      </w:r>
    </w:p>
    <w:p w:rsidR="00FB1C48" w:rsidRDefault="00FB1C48" w:rsidP="000F512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22">
        <w:rPr>
          <w:rFonts w:ascii="Times New Roman" w:hAnsi="Times New Roman" w:cs="Times New Roman"/>
          <w:sz w:val="28"/>
          <w:szCs w:val="28"/>
        </w:rPr>
        <w:t>КС</w:t>
      </w:r>
      <w:r w:rsidR="000F512E" w:rsidRPr="00B505EC">
        <w:rPr>
          <w:rFonts w:ascii="Times New Roman" w:hAnsi="Times New Roman" w:cs="Times New Roman"/>
          <w:sz w:val="24"/>
          <w:szCs w:val="24"/>
        </w:rPr>
        <w:t>общ</w:t>
      </w:r>
      <w:r w:rsidRPr="009E6722">
        <w:rPr>
          <w:rFonts w:ascii="Times New Roman" w:hAnsi="Times New Roman" w:cs="Times New Roman"/>
          <w:sz w:val="28"/>
          <w:szCs w:val="28"/>
        </w:rPr>
        <w:t xml:space="preserve"> </w:t>
      </w:r>
      <w:r w:rsidR="000F512E" w:rsidRPr="009E6722">
        <w:rPr>
          <w:rFonts w:ascii="Times New Roman" w:hAnsi="Times New Roman" w:cs="Times New Roman"/>
          <w:sz w:val="28"/>
          <w:szCs w:val="28"/>
        </w:rPr>
        <w:t>-</w:t>
      </w:r>
      <w:r w:rsidR="00BA1D8B" w:rsidRPr="009E6722">
        <w:rPr>
          <w:rFonts w:ascii="Times New Roman" w:hAnsi="Times New Roman" w:cs="Times New Roman"/>
          <w:sz w:val="28"/>
          <w:szCs w:val="28"/>
        </w:rPr>
        <w:t xml:space="preserve"> общее количество сотрудников А</w:t>
      </w:r>
      <w:r w:rsidRPr="009E6722">
        <w:rPr>
          <w:rFonts w:ascii="Times New Roman" w:hAnsi="Times New Roman" w:cs="Times New Roman"/>
          <w:sz w:val="28"/>
          <w:szCs w:val="28"/>
        </w:rPr>
        <w:t>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  <w:r w:rsidR="000F512E" w:rsidRPr="009E6722">
        <w:rPr>
          <w:rFonts w:ascii="Times New Roman" w:hAnsi="Times New Roman" w:cs="Times New Roman"/>
          <w:sz w:val="28"/>
          <w:szCs w:val="28"/>
        </w:rPr>
        <w:t>, чел.</w:t>
      </w:r>
    </w:p>
    <w:p w:rsidR="00FB1C48" w:rsidRDefault="00FB1C48" w:rsidP="00FB1C4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D4EC2" w:rsidRPr="00480A71" w:rsidRDefault="00FA7CA5" w:rsidP="007B6AC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71">
        <w:rPr>
          <w:rFonts w:ascii="Times New Roman" w:hAnsi="Times New Roman" w:cs="Times New Roman"/>
          <w:b/>
          <w:sz w:val="28"/>
          <w:szCs w:val="28"/>
        </w:rPr>
        <w:t xml:space="preserve">IV. Оценка значений </w:t>
      </w:r>
      <w:r w:rsidR="00D92B80" w:rsidRPr="00480A71">
        <w:rPr>
          <w:rFonts w:ascii="Times New Roman" w:hAnsi="Times New Roman" w:cs="Times New Roman"/>
          <w:b/>
          <w:sz w:val="28"/>
          <w:szCs w:val="28"/>
        </w:rPr>
        <w:t>ключевых показателей эффективности функционирования антимонопольного комплаенса</w:t>
      </w:r>
      <w:r w:rsidRPr="00480A71">
        <w:rPr>
          <w:rFonts w:ascii="Times New Roman" w:hAnsi="Times New Roman" w:cs="Times New Roman"/>
          <w:b/>
          <w:sz w:val="28"/>
          <w:szCs w:val="28"/>
        </w:rPr>
        <w:t xml:space="preserve"> для А</w:t>
      </w:r>
      <w:r w:rsidR="00480A71" w:rsidRPr="00480A71">
        <w:rPr>
          <w:rFonts w:ascii="Times New Roman" w:hAnsi="Times New Roman" w:cs="Times New Roman"/>
          <w:b/>
          <w:sz w:val="28"/>
          <w:szCs w:val="28"/>
        </w:rPr>
        <w:t>дминистрации в целом, уполномоченн</w:t>
      </w:r>
      <w:r w:rsidR="006473C1">
        <w:rPr>
          <w:rFonts w:ascii="Times New Roman" w:hAnsi="Times New Roman" w:cs="Times New Roman"/>
          <w:b/>
          <w:sz w:val="28"/>
          <w:szCs w:val="28"/>
        </w:rPr>
        <w:t>ого</w:t>
      </w:r>
      <w:r w:rsidR="00480A71" w:rsidRPr="00480A71">
        <w:rPr>
          <w:rFonts w:ascii="Times New Roman" w:hAnsi="Times New Roman" w:cs="Times New Roman"/>
          <w:b/>
          <w:sz w:val="28"/>
          <w:szCs w:val="28"/>
        </w:rPr>
        <w:t xml:space="preserve"> подразделени</w:t>
      </w:r>
      <w:r w:rsidR="006473C1">
        <w:rPr>
          <w:rFonts w:ascii="Times New Roman" w:hAnsi="Times New Roman" w:cs="Times New Roman"/>
          <w:b/>
          <w:sz w:val="28"/>
          <w:szCs w:val="28"/>
        </w:rPr>
        <w:t>я</w:t>
      </w:r>
      <w:r w:rsidR="00480A71" w:rsidRPr="00480A7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80A71" w:rsidRPr="00480A71">
        <w:rPr>
          <w:rFonts w:ascii="Times New Roman" w:hAnsi="Times New Roman" w:cs="Times New Roman"/>
          <w:b/>
          <w:bCs/>
          <w:sz w:val="28"/>
          <w:szCs w:val="28"/>
        </w:rPr>
        <w:t>должностн</w:t>
      </w:r>
      <w:r w:rsidR="006473C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80A71" w:rsidRPr="00480A71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 w:rsidR="006473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012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FD4EC2" w:rsidRPr="00480A7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C2A46" w:rsidRPr="00480A7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C2A46" w:rsidRPr="00480A71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  <w:r w:rsidR="0039050A" w:rsidRPr="00480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F92" w:rsidRPr="00480A71">
        <w:rPr>
          <w:rFonts w:ascii="Times New Roman" w:hAnsi="Times New Roman" w:cs="Times New Roman"/>
          <w:b/>
          <w:bCs/>
          <w:sz w:val="28"/>
          <w:szCs w:val="28"/>
        </w:rPr>
        <w:t xml:space="preserve">отраслевых (функциональных) структурных подразделений </w:t>
      </w:r>
      <w:r w:rsidR="00854F92" w:rsidRPr="00480A7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A3913" w:rsidRDefault="00AA3913" w:rsidP="00AA3913">
      <w:pPr>
        <w:ind w:firstLine="709"/>
        <w:jc w:val="both"/>
        <w:rPr>
          <w:szCs w:val="28"/>
        </w:rPr>
      </w:pPr>
    </w:p>
    <w:p w:rsidR="005D6834" w:rsidRDefault="00480A71" w:rsidP="00AA3913">
      <w:pPr>
        <w:ind w:firstLine="709"/>
        <w:jc w:val="both"/>
        <w:rPr>
          <w:szCs w:val="28"/>
        </w:rPr>
      </w:pPr>
      <w:r w:rsidRPr="00AA3913">
        <w:rPr>
          <w:szCs w:val="28"/>
        </w:rPr>
        <w:t>4.1.</w:t>
      </w:r>
      <w:r w:rsidR="005534EE">
        <w:rPr>
          <w:szCs w:val="28"/>
        </w:rPr>
        <w:t xml:space="preserve"> </w:t>
      </w:r>
      <w:r w:rsidR="005D6834" w:rsidRPr="00295F8E">
        <w:rPr>
          <w:szCs w:val="28"/>
        </w:rPr>
        <w:t>Оценка значений КПЭ «коэффициент снижения количества нарушений антимонопольно</w:t>
      </w:r>
      <w:r w:rsidR="005D6834">
        <w:rPr>
          <w:szCs w:val="28"/>
        </w:rPr>
        <w:t>го законодательства со стороны А</w:t>
      </w:r>
      <w:r w:rsidR="00D955EA">
        <w:rPr>
          <w:szCs w:val="28"/>
        </w:rPr>
        <w:t>дминистрации</w:t>
      </w:r>
      <w:r w:rsidR="001C5C32">
        <w:rPr>
          <w:szCs w:val="28"/>
        </w:rPr>
        <w:t xml:space="preserve"> </w:t>
      </w:r>
      <w:r w:rsidR="005D2155">
        <w:t>за предыдущие три года</w:t>
      </w:r>
      <w:r w:rsidR="00D955EA">
        <w:rPr>
          <w:szCs w:val="28"/>
        </w:rPr>
        <w:t>»</w:t>
      </w:r>
      <w:r w:rsidR="000201C1">
        <w:rPr>
          <w:szCs w:val="28"/>
        </w:rPr>
        <w:t>.</w:t>
      </w:r>
    </w:p>
    <w:p w:rsidR="00724116" w:rsidRDefault="001A5EB1" w:rsidP="00724116">
      <w:pPr>
        <w:ind w:firstLine="709"/>
        <w:jc w:val="both"/>
        <w:rPr>
          <w:szCs w:val="28"/>
        </w:rPr>
      </w:pPr>
      <w:r>
        <w:t xml:space="preserve">Ключевой показатель «коэффициент снижения количества нарушений антимонопольного законодательства со стороны </w:t>
      </w:r>
      <w:r>
        <w:rPr>
          <w:szCs w:val="28"/>
        </w:rPr>
        <w:t>Администрации</w:t>
      </w:r>
      <w:r w:rsidR="00EB1192">
        <w:rPr>
          <w:szCs w:val="28"/>
        </w:rPr>
        <w:t xml:space="preserve"> </w:t>
      </w:r>
      <w:r w:rsidR="00EB1192">
        <w:t>за предыдущие три года</w:t>
      </w:r>
      <w:r>
        <w:t xml:space="preserve">» определяется в рамках анализа выявленных нарушений антимонопольного законодательства в деятельности </w:t>
      </w:r>
      <w:r>
        <w:rPr>
          <w:szCs w:val="28"/>
        </w:rPr>
        <w:t>Администрации</w:t>
      </w:r>
      <w:r>
        <w:t xml:space="preserve"> за предыдущие три года (наличие </w:t>
      </w:r>
      <w:r>
        <w:lastRenderedPageBreak/>
        <w:t>предостережений, предупреждений, шт</w:t>
      </w:r>
      <w:r w:rsidR="00724116">
        <w:t xml:space="preserve">рафов, жалоб, возбужденных дел), проводимого в соответствии с </w:t>
      </w:r>
      <w:hyperlink r:id="rId11" w:history="1">
        <w:r w:rsidR="00724116" w:rsidRPr="00687FCD">
          <w:rPr>
            <w:rStyle w:val="ad"/>
            <w:rFonts w:cs="Times New Roman CYR"/>
            <w:color w:val="000000" w:themeColor="text1"/>
          </w:rPr>
          <w:t>по</w:t>
        </w:r>
        <w:r w:rsidR="00724116">
          <w:rPr>
            <w:rStyle w:val="ad"/>
            <w:rFonts w:cs="Times New Roman CYR"/>
            <w:color w:val="000000" w:themeColor="text1"/>
          </w:rPr>
          <w:t>дпунктом «</w:t>
        </w:r>
        <w:r w:rsidR="00724116" w:rsidRPr="00687FCD">
          <w:rPr>
            <w:rStyle w:val="ad"/>
            <w:rFonts w:cs="Times New Roman CYR"/>
            <w:color w:val="000000" w:themeColor="text1"/>
          </w:rPr>
          <w:t>а</w:t>
        </w:r>
        <w:r w:rsidR="00724116">
          <w:rPr>
            <w:rStyle w:val="ad"/>
            <w:rFonts w:cs="Times New Roman CYR"/>
            <w:color w:val="000000" w:themeColor="text1"/>
          </w:rPr>
          <w:t>»</w:t>
        </w:r>
        <w:r w:rsidR="00724116" w:rsidRPr="00687FCD">
          <w:rPr>
            <w:rStyle w:val="ad"/>
            <w:rFonts w:cs="Times New Roman CYR"/>
            <w:color w:val="000000" w:themeColor="text1"/>
          </w:rPr>
          <w:t xml:space="preserve"> пункта 15</w:t>
        </w:r>
      </w:hyperlink>
      <w:r w:rsidR="00724116" w:rsidRPr="00687FCD">
        <w:rPr>
          <w:color w:val="000000" w:themeColor="text1"/>
        </w:rPr>
        <w:t xml:space="preserve"> </w:t>
      </w:r>
      <w:r w:rsidR="00724116">
        <w:t xml:space="preserve">Методических </w:t>
      </w:r>
      <w:r w:rsidR="00724116">
        <w:rPr>
          <w:color w:val="000000" w:themeColor="text1"/>
        </w:rPr>
        <w:t xml:space="preserve">рекомендаций </w:t>
      </w:r>
      <w:r w:rsidR="00724116" w:rsidRPr="00842B95">
        <w:rPr>
          <w:szCs w:val="28"/>
        </w:rPr>
        <w:t xml:space="preserve">по созданию и организации федеральными органами исполнительной </w:t>
      </w:r>
      <w:r w:rsidR="00724116">
        <w:rPr>
          <w:szCs w:val="28"/>
        </w:rPr>
        <w:t>власти системы внутреннего обесп</w:t>
      </w:r>
      <w:r w:rsidR="00724116" w:rsidRPr="00842B95">
        <w:rPr>
          <w:szCs w:val="28"/>
        </w:rPr>
        <w:t>ечения соответствия требованиям антимонопольного законодательства</w:t>
      </w:r>
      <w:r w:rsidR="00724116">
        <w:rPr>
          <w:szCs w:val="28"/>
        </w:rPr>
        <w:t>»</w:t>
      </w:r>
      <w:r w:rsidR="00724116" w:rsidRPr="00842B95">
        <w:rPr>
          <w:szCs w:val="28"/>
        </w:rPr>
        <w:t>, утвержденных распоряжением Правительства Российской Федерации от 18.10.2018</w:t>
      </w:r>
      <w:r w:rsidR="00724116">
        <w:rPr>
          <w:szCs w:val="28"/>
        </w:rPr>
        <w:t xml:space="preserve">                    № 2258-р</w:t>
      </w:r>
      <w:r w:rsidR="00724116" w:rsidRPr="00842B95">
        <w:rPr>
          <w:szCs w:val="28"/>
        </w:rPr>
        <w:t xml:space="preserve"> (далее - Методические рекомендации). </w:t>
      </w:r>
    </w:p>
    <w:p w:rsidR="00744CFF" w:rsidRDefault="00744CFF" w:rsidP="00744CFF">
      <w:pPr>
        <w:ind w:firstLine="709"/>
        <w:jc w:val="both"/>
      </w:pPr>
      <w:r>
        <w:t xml:space="preserve">Ежегодная оценка значения КПЭ «показатель снижения количества нарушений антимонопольного законодательства со стороны </w:t>
      </w:r>
      <w:r>
        <w:rPr>
          <w:szCs w:val="28"/>
        </w:rPr>
        <w:t>Администрации</w:t>
      </w:r>
      <w:r>
        <w:t xml:space="preserve"> за предыдущие три года» призвана обеспечить понимание эффективности функционирования антимонопольного комплаенса в </w:t>
      </w:r>
      <w:r>
        <w:rPr>
          <w:szCs w:val="28"/>
        </w:rPr>
        <w:t>Администрации</w:t>
      </w:r>
      <w:r>
        <w:t xml:space="preserve"> и служит одним из ключевых факторов для определения областей деятельности, содержащих высокие комплаенс-риски.</w:t>
      </w:r>
    </w:p>
    <w:p w:rsidR="005D6834" w:rsidRDefault="004723A6" w:rsidP="00AA3913">
      <w:pPr>
        <w:ind w:firstLine="709"/>
        <w:jc w:val="both"/>
        <w:rPr>
          <w:szCs w:val="28"/>
        </w:rPr>
      </w:pPr>
      <w:r w:rsidRPr="00AA3913">
        <w:rPr>
          <w:szCs w:val="28"/>
        </w:rPr>
        <w:t>4.2.</w:t>
      </w:r>
      <w:r w:rsidR="005D6834" w:rsidRPr="00AE060D">
        <w:rPr>
          <w:szCs w:val="28"/>
        </w:rPr>
        <w:t xml:space="preserve"> Оценка значений КПЭ «</w:t>
      </w:r>
      <w:r w:rsidR="0030602E">
        <w:t>коэффициент эффективности выявления рисков нарушения антимонопольного законодательства в проектах нормативных правовых актов</w:t>
      </w:r>
      <w:r w:rsidR="005D6834">
        <w:rPr>
          <w:szCs w:val="28"/>
        </w:rPr>
        <w:t xml:space="preserve"> А</w:t>
      </w:r>
      <w:r w:rsidR="005D6834" w:rsidRPr="00AE060D">
        <w:rPr>
          <w:szCs w:val="28"/>
        </w:rPr>
        <w:t>дминистрации» и «</w:t>
      </w:r>
      <w:r w:rsidR="00EB21A2">
        <w:t>коэффициент эффективности выявления нарушений антимонопольного законодательства в нормативных правовых актах</w:t>
      </w:r>
      <w:r w:rsidR="00180D2F">
        <w:rPr>
          <w:szCs w:val="28"/>
        </w:rPr>
        <w:t xml:space="preserve"> А</w:t>
      </w:r>
      <w:r w:rsidR="005D6834" w:rsidRPr="00AE060D">
        <w:rPr>
          <w:szCs w:val="28"/>
        </w:rPr>
        <w:t>дминистрации</w:t>
      </w:r>
      <w:r w:rsidR="00254357">
        <w:rPr>
          <w:szCs w:val="28"/>
        </w:rPr>
        <w:t>».</w:t>
      </w:r>
    </w:p>
    <w:p w:rsidR="00A95882" w:rsidRDefault="009C6B13" w:rsidP="00AA3913">
      <w:pPr>
        <w:ind w:firstLine="709"/>
        <w:jc w:val="both"/>
        <w:rPr>
          <w:color w:val="000000" w:themeColor="text1"/>
        </w:rPr>
      </w:pPr>
      <w:r w:rsidRPr="009C6B13">
        <w:rPr>
          <w:color w:val="000000" w:themeColor="text1"/>
        </w:rPr>
        <w:t xml:space="preserve">Оценка вышеуказанных значений КПЭ направлена на оценку эффективности мероприятий антимонопольного комплаенса, предусмотренных </w:t>
      </w:r>
      <w:hyperlink r:id="rId12" w:history="1">
        <w:r>
          <w:rPr>
            <w:rStyle w:val="ad"/>
            <w:rFonts w:cs="Times New Roman CYR"/>
            <w:color w:val="000000" w:themeColor="text1"/>
          </w:rPr>
          <w:t>подпунктами «</w:t>
        </w:r>
        <w:r w:rsidRPr="009C6B13">
          <w:rPr>
            <w:rStyle w:val="ad"/>
            <w:rFonts w:cs="Times New Roman CYR"/>
            <w:color w:val="000000" w:themeColor="text1"/>
          </w:rPr>
          <w:t>б</w:t>
        </w:r>
      </w:hyperlink>
      <w:r>
        <w:rPr>
          <w:color w:val="000000" w:themeColor="text1"/>
        </w:rPr>
        <w:t>»</w:t>
      </w:r>
      <w:r w:rsidRPr="009C6B13">
        <w:rPr>
          <w:color w:val="000000" w:themeColor="text1"/>
        </w:rPr>
        <w:t xml:space="preserve"> и </w:t>
      </w:r>
      <w:hyperlink r:id="rId13" w:history="1">
        <w:r>
          <w:rPr>
            <w:rStyle w:val="ad"/>
            <w:rFonts w:cs="Times New Roman CYR"/>
            <w:color w:val="000000" w:themeColor="text1"/>
          </w:rPr>
          <w:t>«</w:t>
        </w:r>
        <w:r w:rsidRPr="009C6B13">
          <w:rPr>
            <w:rStyle w:val="ad"/>
            <w:rFonts w:cs="Times New Roman CYR"/>
            <w:color w:val="000000" w:themeColor="text1"/>
          </w:rPr>
          <w:t>в</w:t>
        </w:r>
        <w:r>
          <w:rPr>
            <w:rStyle w:val="ad"/>
            <w:rFonts w:cs="Times New Roman CYR"/>
            <w:color w:val="000000" w:themeColor="text1"/>
          </w:rPr>
          <w:t>»</w:t>
        </w:r>
        <w:r w:rsidRPr="009C6B13">
          <w:rPr>
            <w:rStyle w:val="ad"/>
            <w:rFonts w:cs="Times New Roman CYR"/>
            <w:color w:val="000000" w:themeColor="text1"/>
          </w:rPr>
          <w:t xml:space="preserve"> пункта 15</w:t>
        </w:r>
      </w:hyperlink>
      <w:r w:rsidR="00435D16">
        <w:rPr>
          <w:color w:val="000000" w:themeColor="text1"/>
        </w:rPr>
        <w:t xml:space="preserve"> Методических рекомендаций</w:t>
      </w:r>
      <w:r w:rsidR="00A95882">
        <w:rPr>
          <w:color w:val="000000" w:themeColor="text1"/>
        </w:rPr>
        <w:t>.</w:t>
      </w:r>
      <w:r w:rsidR="00435D16">
        <w:rPr>
          <w:color w:val="000000" w:themeColor="text1"/>
        </w:rPr>
        <w:t xml:space="preserve"> </w:t>
      </w:r>
    </w:p>
    <w:p w:rsidR="0018574C" w:rsidRDefault="005D6834" w:rsidP="00AA3913">
      <w:pPr>
        <w:ind w:firstLine="709"/>
        <w:jc w:val="both"/>
        <w:rPr>
          <w:szCs w:val="28"/>
        </w:rPr>
      </w:pPr>
      <w:r w:rsidRPr="00842B95">
        <w:rPr>
          <w:szCs w:val="28"/>
        </w:rPr>
        <w:t>При эффективном проведении мероприятий по анал</w:t>
      </w:r>
      <w:r>
        <w:rPr>
          <w:szCs w:val="28"/>
        </w:rPr>
        <w:t>изу нормативных правовых актов А</w:t>
      </w:r>
      <w:r w:rsidRPr="00842B95">
        <w:rPr>
          <w:szCs w:val="28"/>
        </w:rPr>
        <w:t>дминистрации и их проектов на предмет выявления заложенных в них рисков нарушения антимонопольного законодательства (то есть при высоком значении числителя) должно наблюдаться уменьше</w:t>
      </w:r>
      <w:r>
        <w:rPr>
          <w:szCs w:val="28"/>
        </w:rPr>
        <w:t>ние нормативных правовых актов А</w:t>
      </w:r>
      <w:r w:rsidRPr="00842B95">
        <w:rPr>
          <w:szCs w:val="28"/>
        </w:rPr>
        <w:t>дминистрации, в отношении которых антимонопольным органом выявлены нарушения антимонопольного законодательства (то есть низкое значение знаменате</w:t>
      </w:r>
      <w:r w:rsidR="00164389">
        <w:rPr>
          <w:szCs w:val="28"/>
        </w:rPr>
        <w:t xml:space="preserve">ля). </w:t>
      </w:r>
    </w:p>
    <w:p w:rsidR="005D6834" w:rsidRDefault="00164389" w:rsidP="00AA391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Таким образом, значение КПЭ</w:t>
      </w:r>
      <w:r w:rsidR="005D6834" w:rsidRPr="00842B95">
        <w:rPr>
          <w:szCs w:val="28"/>
        </w:rPr>
        <w:t xml:space="preserve"> будет тем выше, чем эффективней данные мероприятия антимонопольного комплаенса будут осуществляться </w:t>
      </w:r>
      <w:r w:rsidR="00EB0BD9">
        <w:rPr>
          <w:bCs/>
          <w:szCs w:val="28"/>
        </w:rPr>
        <w:t>отраслевыми (функциональными</w:t>
      </w:r>
      <w:r w:rsidR="00EB0BD9" w:rsidRPr="00BE347E">
        <w:rPr>
          <w:bCs/>
          <w:szCs w:val="28"/>
        </w:rPr>
        <w:t xml:space="preserve">) </w:t>
      </w:r>
      <w:r w:rsidR="00EB0BD9">
        <w:rPr>
          <w:bCs/>
          <w:szCs w:val="28"/>
        </w:rPr>
        <w:t>структурными</w:t>
      </w:r>
      <w:r w:rsidR="00EB0BD9" w:rsidRPr="00BE347E">
        <w:rPr>
          <w:bCs/>
          <w:szCs w:val="28"/>
        </w:rPr>
        <w:t xml:space="preserve"> подразделени</w:t>
      </w:r>
      <w:r w:rsidR="00EB0BD9">
        <w:rPr>
          <w:bCs/>
          <w:szCs w:val="28"/>
        </w:rPr>
        <w:t>ями</w:t>
      </w:r>
      <w:r w:rsidR="00EB0BD9" w:rsidRPr="00BE347E">
        <w:rPr>
          <w:b/>
          <w:bCs/>
          <w:szCs w:val="28"/>
        </w:rPr>
        <w:t xml:space="preserve"> </w:t>
      </w:r>
      <w:r w:rsidR="00EB0BD9" w:rsidRPr="00BE347E">
        <w:rPr>
          <w:szCs w:val="28"/>
        </w:rPr>
        <w:t>Администрации</w:t>
      </w:r>
      <w:r w:rsidR="005D6834" w:rsidRPr="00842B95">
        <w:rPr>
          <w:szCs w:val="28"/>
        </w:rPr>
        <w:t>. И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</w:t>
      </w:r>
      <w:r w:rsidR="00C7574B">
        <w:rPr>
          <w:szCs w:val="28"/>
        </w:rPr>
        <w:t>наменатель), низкие значения КП</w:t>
      </w:r>
      <w:r w:rsidR="00731568">
        <w:rPr>
          <w:szCs w:val="28"/>
        </w:rPr>
        <w:t>Э</w:t>
      </w:r>
      <w:r w:rsidR="005D6834" w:rsidRPr="00842B95">
        <w:rPr>
          <w:szCs w:val="28"/>
        </w:rPr>
        <w:t xml:space="preserve"> будут свидетельствовать о низкой эффективности данных мероприятий.</w:t>
      </w:r>
    </w:p>
    <w:p w:rsidR="005D6834" w:rsidRDefault="00D01440" w:rsidP="00AA3913">
      <w:pPr>
        <w:ind w:firstLine="709"/>
        <w:jc w:val="both"/>
        <w:rPr>
          <w:szCs w:val="28"/>
        </w:rPr>
      </w:pPr>
      <w:r w:rsidRPr="00AA3913">
        <w:rPr>
          <w:szCs w:val="28"/>
        </w:rPr>
        <w:t>4.3.</w:t>
      </w:r>
      <w:r w:rsidR="00F157C0">
        <w:rPr>
          <w:szCs w:val="28"/>
        </w:rPr>
        <w:t xml:space="preserve"> Оценка значения КПЭ</w:t>
      </w:r>
      <w:r w:rsidR="00CD01AC">
        <w:rPr>
          <w:szCs w:val="28"/>
        </w:rPr>
        <w:t xml:space="preserve"> «сотрудников А</w:t>
      </w:r>
      <w:r w:rsidR="005D6834" w:rsidRPr="00842B95">
        <w:rPr>
          <w:szCs w:val="28"/>
        </w:rPr>
        <w:t xml:space="preserve">дминистрации, с которыми были проведены обучающие мероприятия по антимонопольному законодательству и антимонопольному комплаенсу». </w:t>
      </w:r>
    </w:p>
    <w:p w:rsidR="00CD44B9" w:rsidRDefault="005D6834" w:rsidP="00AA3913">
      <w:pPr>
        <w:ind w:firstLine="709"/>
        <w:jc w:val="both"/>
        <w:rPr>
          <w:szCs w:val="28"/>
        </w:rPr>
      </w:pPr>
      <w:r w:rsidRPr="00842B95">
        <w:rPr>
          <w:szCs w:val="28"/>
        </w:rPr>
        <w:t>Консультирование служащих</w:t>
      </w:r>
      <w:r>
        <w:rPr>
          <w:szCs w:val="28"/>
        </w:rPr>
        <w:t xml:space="preserve"> А</w:t>
      </w:r>
      <w:r w:rsidRPr="00842B95">
        <w:rPr>
          <w:szCs w:val="28"/>
        </w:rPr>
        <w:t>дминистрации по вопросам, связанным с соблюдением антимонопольного законодательства и антимонопольным комплаенсом, отнесе</w:t>
      </w:r>
      <w:r w:rsidR="000B6956">
        <w:rPr>
          <w:szCs w:val="28"/>
        </w:rPr>
        <w:t>но к компетенции уполномоченн</w:t>
      </w:r>
      <w:r w:rsidR="00054B68">
        <w:rPr>
          <w:szCs w:val="28"/>
        </w:rPr>
        <w:t>ого</w:t>
      </w:r>
      <w:r w:rsidR="006D7C59">
        <w:rPr>
          <w:szCs w:val="28"/>
        </w:rPr>
        <w:t xml:space="preserve"> подразделени</w:t>
      </w:r>
      <w:r w:rsidR="00054B68">
        <w:rPr>
          <w:szCs w:val="28"/>
        </w:rPr>
        <w:t>я</w:t>
      </w:r>
      <w:r w:rsidRPr="00842B95">
        <w:rPr>
          <w:szCs w:val="28"/>
        </w:rPr>
        <w:t xml:space="preserve"> (должностного лица) согласно подпункту «г» пункта 11 Методических рекомендаций и направлено на профилактику нарушений требований антимонопольного з</w:t>
      </w:r>
      <w:r w:rsidR="00F625AA">
        <w:rPr>
          <w:szCs w:val="28"/>
        </w:rPr>
        <w:t>аконодательства в деятельности А</w:t>
      </w:r>
      <w:r w:rsidRPr="00842B95">
        <w:rPr>
          <w:szCs w:val="28"/>
        </w:rPr>
        <w:t xml:space="preserve">дминистрации. </w:t>
      </w:r>
    </w:p>
    <w:p w:rsidR="001A46D7" w:rsidRDefault="005D6834" w:rsidP="00AA3913">
      <w:pPr>
        <w:ind w:firstLine="709"/>
        <w:jc w:val="both"/>
        <w:rPr>
          <w:szCs w:val="28"/>
        </w:rPr>
      </w:pPr>
      <w:r w:rsidRPr="00842B95">
        <w:rPr>
          <w:szCs w:val="28"/>
        </w:rPr>
        <w:t>Расчет данного показателя предусмат</w:t>
      </w:r>
      <w:r>
        <w:rPr>
          <w:szCs w:val="28"/>
        </w:rPr>
        <w:t>ривает определение сотрудников А</w:t>
      </w:r>
      <w:r w:rsidRPr="00842B95">
        <w:rPr>
          <w:szCs w:val="28"/>
        </w:rPr>
        <w:t>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комплаенсу. Высокое значение количества сотрудников,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</w:t>
      </w:r>
      <w:r w:rsidR="001D121A">
        <w:rPr>
          <w:szCs w:val="28"/>
        </w:rPr>
        <w:t>ачение КПЭ</w:t>
      </w:r>
      <w:r w:rsidRPr="00842B95">
        <w:rPr>
          <w:szCs w:val="28"/>
        </w:rPr>
        <w:t>.</w:t>
      </w:r>
    </w:p>
    <w:p w:rsidR="00A22602" w:rsidRPr="00BB21C6" w:rsidRDefault="00A22602" w:rsidP="00A22602">
      <w:pPr>
        <w:jc w:val="center"/>
        <w:rPr>
          <w:szCs w:val="28"/>
        </w:rPr>
      </w:pPr>
      <w:r w:rsidRPr="00BB21C6">
        <w:rPr>
          <w:szCs w:val="28"/>
        </w:rPr>
        <w:t>_______________</w:t>
      </w:r>
    </w:p>
    <w:p w:rsidR="003D394D" w:rsidRPr="009E08E5" w:rsidRDefault="003D394D" w:rsidP="00AA3913">
      <w:pPr>
        <w:ind w:firstLine="709"/>
        <w:jc w:val="both"/>
        <w:rPr>
          <w:szCs w:val="28"/>
        </w:rPr>
      </w:pPr>
    </w:p>
    <w:sectPr w:rsidR="003D394D" w:rsidRPr="009E08E5" w:rsidSect="00F93E13">
      <w:headerReference w:type="default" r:id="rId14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11" w:rsidRDefault="008E1211" w:rsidP="0056383C">
      <w:r>
        <w:separator/>
      </w:r>
    </w:p>
  </w:endnote>
  <w:endnote w:type="continuationSeparator" w:id="0">
    <w:p w:rsidR="008E1211" w:rsidRDefault="008E1211" w:rsidP="0056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11" w:rsidRDefault="008E1211" w:rsidP="0056383C">
      <w:r>
        <w:separator/>
      </w:r>
    </w:p>
  </w:footnote>
  <w:footnote w:type="continuationSeparator" w:id="0">
    <w:p w:rsidR="008E1211" w:rsidRDefault="008E1211" w:rsidP="0056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887275"/>
      <w:docPartObj>
        <w:docPartGallery w:val="Page Numbers (Top of Page)"/>
        <w:docPartUnique/>
      </w:docPartObj>
    </w:sdtPr>
    <w:sdtEndPr/>
    <w:sdtContent>
      <w:p w:rsidR="0056383C" w:rsidRDefault="005638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DCF">
          <w:rPr>
            <w:noProof/>
          </w:rPr>
          <w:t>2</w:t>
        </w:r>
        <w:r>
          <w:fldChar w:fldCharType="end"/>
        </w:r>
      </w:p>
    </w:sdtContent>
  </w:sdt>
  <w:p w:rsidR="0056383C" w:rsidRDefault="005638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422"/>
    <w:multiLevelType w:val="hybridMultilevel"/>
    <w:tmpl w:val="BB4A9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618"/>
    <w:multiLevelType w:val="hybridMultilevel"/>
    <w:tmpl w:val="E996E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B4861"/>
    <w:multiLevelType w:val="hybridMultilevel"/>
    <w:tmpl w:val="36361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A56266"/>
    <w:multiLevelType w:val="multilevel"/>
    <w:tmpl w:val="C888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D7"/>
    <w:rsid w:val="00001FDB"/>
    <w:rsid w:val="00002504"/>
    <w:rsid w:val="000026FF"/>
    <w:rsid w:val="0000326B"/>
    <w:rsid w:val="000133E5"/>
    <w:rsid w:val="00013A00"/>
    <w:rsid w:val="000201C1"/>
    <w:rsid w:val="000208B3"/>
    <w:rsid w:val="000221F0"/>
    <w:rsid w:val="000264E3"/>
    <w:rsid w:val="000315DB"/>
    <w:rsid w:val="00035F2D"/>
    <w:rsid w:val="0003644E"/>
    <w:rsid w:val="00036A8A"/>
    <w:rsid w:val="000374A0"/>
    <w:rsid w:val="00040CD4"/>
    <w:rsid w:val="00044598"/>
    <w:rsid w:val="00045D63"/>
    <w:rsid w:val="00050ECA"/>
    <w:rsid w:val="00052BE7"/>
    <w:rsid w:val="00054B68"/>
    <w:rsid w:val="00062541"/>
    <w:rsid w:val="00062C10"/>
    <w:rsid w:val="00063F8D"/>
    <w:rsid w:val="0006400A"/>
    <w:rsid w:val="000640E8"/>
    <w:rsid w:val="00066F33"/>
    <w:rsid w:val="00070F4B"/>
    <w:rsid w:val="00071B64"/>
    <w:rsid w:val="000725CE"/>
    <w:rsid w:val="000770B2"/>
    <w:rsid w:val="000773CB"/>
    <w:rsid w:val="00086FE2"/>
    <w:rsid w:val="00087683"/>
    <w:rsid w:val="00087FB7"/>
    <w:rsid w:val="00094305"/>
    <w:rsid w:val="00094E0E"/>
    <w:rsid w:val="000A4C30"/>
    <w:rsid w:val="000A6756"/>
    <w:rsid w:val="000A6EFF"/>
    <w:rsid w:val="000B007D"/>
    <w:rsid w:val="000B3E5B"/>
    <w:rsid w:val="000B6956"/>
    <w:rsid w:val="000B7F41"/>
    <w:rsid w:val="000C02F1"/>
    <w:rsid w:val="000C0D91"/>
    <w:rsid w:val="000C3300"/>
    <w:rsid w:val="000C4C0B"/>
    <w:rsid w:val="000C632D"/>
    <w:rsid w:val="000D1328"/>
    <w:rsid w:val="000D3245"/>
    <w:rsid w:val="000D36EF"/>
    <w:rsid w:val="000D54BC"/>
    <w:rsid w:val="000D6EA8"/>
    <w:rsid w:val="000E52BF"/>
    <w:rsid w:val="000E5359"/>
    <w:rsid w:val="000F0EAA"/>
    <w:rsid w:val="000F29DF"/>
    <w:rsid w:val="000F512E"/>
    <w:rsid w:val="000F75DB"/>
    <w:rsid w:val="000F7FFB"/>
    <w:rsid w:val="00101006"/>
    <w:rsid w:val="00102A93"/>
    <w:rsid w:val="00107665"/>
    <w:rsid w:val="0011425D"/>
    <w:rsid w:val="0012255C"/>
    <w:rsid w:val="00125A38"/>
    <w:rsid w:val="00141067"/>
    <w:rsid w:val="00141113"/>
    <w:rsid w:val="00141F8B"/>
    <w:rsid w:val="001430EE"/>
    <w:rsid w:val="00147E90"/>
    <w:rsid w:val="0015130C"/>
    <w:rsid w:val="00152548"/>
    <w:rsid w:val="001537D8"/>
    <w:rsid w:val="00156ADA"/>
    <w:rsid w:val="00156FC4"/>
    <w:rsid w:val="00160140"/>
    <w:rsid w:val="0016155A"/>
    <w:rsid w:val="0016226B"/>
    <w:rsid w:val="00164389"/>
    <w:rsid w:val="00165B86"/>
    <w:rsid w:val="00171107"/>
    <w:rsid w:val="0017232F"/>
    <w:rsid w:val="00173171"/>
    <w:rsid w:val="001735C0"/>
    <w:rsid w:val="00173C2A"/>
    <w:rsid w:val="0017571B"/>
    <w:rsid w:val="00175E75"/>
    <w:rsid w:val="00177834"/>
    <w:rsid w:val="00180450"/>
    <w:rsid w:val="00180D2F"/>
    <w:rsid w:val="00184E35"/>
    <w:rsid w:val="0018574C"/>
    <w:rsid w:val="0018763B"/>
    <w:rsid w:val="00190A86"/>
    <w:rsid w:val="0019799D"/>
    <w:rsid w:val="00197FDA"/>
    <w:rsid w:val="001A182B"/>
    <w:rsid w:val="001A3298"/>
    <w:rsid w:val="001A46D7"/>
    <w:rsid w:val="001A54E4"/>
    <w:rsid w:val="001A5A18"/>
    <w:rsid w:val="001A5EB1"/>
    <w:rsid w:val="001A67D0"/>
    <w:rsid w:val="001A68D6"/>
    <w:rsid w:val="001A7109"/>
    <w:rsid w:val="001B1DB9"/>
    <w:rsid w:val="001B28F0"/>
    <w:rsid w:val="001B3608"/>
    <w:rsid w:val="001C1EAF"/>
    <w:rsid w:val="001C2613"/>
    <w:rsid w:val="001C41B0"/>
    <w:rsid w:val="001C5C32"/>
    <w:rsid w:val="001C7448"/>
    <w:rsid w:val="001C7656"/>
    <w:rsid w:val="001C7B62"/>
    <w:rsid w:val="001C7E56"/>
    <w:rsid w:val="001D121A"/>
    <w:rsid w:val="001D2EBB"/>
    <w:rsid w:val="001D4E73"/>
    <w:rsid w:val="001E07C4"/>
    <w:rsid w:val="001E197D"/>
    <w:rsid w:val="001E224D"/>
    <w:rsid w:val="001E3B37"/>
    <w:rsid w:val="001E69F0"/>
    <w:rsid w:val="001F20CB"/>
    <w:rsid w:val="001F28C3"/>
    <w:rsid w:val="001F55CD"/>
    <w:rsid w:val="001F76AA"/>
    <w:rsid w:val="00200123"/>
    <w:rsid w:val="002020F0"/>
    <w:rsid w:val="002037A0"/>
    <w:rsid w:val="00203B1C"/>
    <w:rsid w:val="0021014A"/>
    <w:rsid w:val="00210615"/>
    <w:rsid w:val="002109A0"/>
    <w:rsid w:val="00210BC6"/>
    <w:rsid w:val="00213A33"/>
    <w:rsid w:val="00213B8D"/>
    <w:rsid w:val="00214C94"/>
    <w:rsid w:val="00216847"/>
    <w:rsid w:val="00222903"/>
    <w:rsid w:val="00223864"/>
    <w:rsid w:val="00223AB3"/>
    <w:rsid w:val="00230947"/>
    <w:rsid w:val="00234DCB"/>
    <w:rsid w:val="0024385C"/>
    <w:rsid w:val="002447FA"/>
    <w:rsid w:val="002450F6"/>
    <w:rsid w:val="00246664"/>
    <w:rsid w:val="00246B8F"/>
    <w:rsid w:val="002506CE"/>
    <w:rsid w:val="00254357"/>
    <w:rsid w:val="00254BA7"/>
    <w:rsid w:val="00260020"/>
    <w:rsid w:val="002619D1"/>
    <w:rsid w:val="00264F6D"/>
    <w:rsid w:val="00266770"/>
    <w:rsid w:val="00273027"/>
    <w:rsid w:val="00276E2C"/>
    <w:rsid w:val="00277F88"/>
    <w:rsid w:val="002800EC"/>
    <w:rsid w:val="00281FAC"/>
    <w:rsid w:val="00282EE4"/>
    <w:rsid w:val="0028525D"/>
    <w:rsid w:val="002859C0"/>
    <w:rsid w:val="00285DF6"/>
    <w:rsid w:val="00287862"/>
    <w:rsid w:val="00291490"/>
    <w:rsid w:val="00291C3A"/>
    <w:rsid w:val="00292AE0"/>
    <w:rsid w:val="0029540D"/>
    <w:rsid w:val="00295D88"/>
    <w:rsid w:val="00296CB9"/>
    <w:rsid w:val="002A183D"/>
    <w:rsid w:val="002A1DA7"/>
    <w:rsid w:val="002B0D47"/>
    <w:rsid w:val="002B28CD"/>
    <w:rsid w:val="002B4E44"/>
    <w:rsid w:val="002B5082"/>
    <w:rsid w:val="002B5B22"/>
    <w:rsid w:val="002C0EBF"/>
    <w:rsid w:val="002C3E3F"/>
    <w:rsid w:val="002D21FA"/>
    <w:rsid w:val="002D4695"/>
    <w:rsid w:val="002D4D02"/>
    <w:rsid w:val="002E2226"/>
    <w:rsid w:val="002E3C9B"/>
    <w:rsid w:val="002E6877"/>
    <w:rsid w:val="002E6EF3"/>
    <w:rsid w:val="002F01A2"/>
    <w:rsid w:val="002F0FCB"/>
    <w:rsid w:val="002F2EA0"/>
    <w:rsid w:val="002F3500"/>
    <w:rsid w:val="002F5569"/>
    <w:rsid w:val="002F6450"/>
    <w:rsid w:val="002F73F7"/>
    <w:rsid w:val="00301AC3"/>
    <w:rsid w:val="00304B55"/>
    <w:rsid w:val="00304C48"/>
    <w:rsid w:val="0030602E"/>
    <w:rsid w:val="0030631F"/>
    <w:rsid w:val="00306E41"/>
    <w:rsid w:val="00306F74"/>
    <w:rsid w:val="00306FA8"/>
    <w:rsid w:val="0031146D"/>
    <w:rsid w:val="00315D6C"/>
    <w:rsid w:val="00320928"/>
    <w:rsid w:val="0033004A"/>
    <w:rsid w:val="00333AC1"/>
    <w:rsid w:val="003365D4"/>
    <w:rsid w:val="00340C77"/>
    <w:rsid w:val="00345A34"/>
    <w:rsid w:val="0034701B"/>
    <w:rsid w:val="00347BA3"/>
    <w:rsid w:val="00366399"/>
    <w:rsid w:val="00370630"/>
    <w:rsid w:val="00370D35"/>
    <w:rsid w:val="003731B5"/>
    <w:rsid w:val="0037503C"/>
    <w:rsid w:val="0037726A"/>
    <w:rsid w:val="003776B7"/>
    <w:rsid w:val="0038081D"/>
    <w:rsid w:val="00381B8D"/>
    <w:rsid w:val="00382498"/>
    <w:rsid w:val="00385AF4"/>
    <w:rsid w:val="0039050A"/>
    <w:rsid w:val="003958DD"/>
    <w:rsid w:val="00396293"/>
    <w:rsid w:val="003967E8"/>
    <w:rsid w:val="003A2216"/>
    <w:rsid w:val="003A4211"/>
    <w:rsid w:val="003A4A08"/>
    <w:rsid w:val="003B2882"/>
    <w:rsid w:val="003B3F64"/>
    <w:rsid w:val="003B6474"/>
    <w:rsid w:val="003B70B6"/>
    <w:rsid w:val="003C12C1"/>
    <w:rsid w:val="003C286F"/>
    <w:rsid w:val="003C7587"/>
    <w:rsid w:val="003C7986"/>
    <w:rsid w:val="003D394D"/>
    <w:rsid w:val="003D4D9E"/>
    <w:rsid w:val="003E078D"/>
    <w:rsid w:val="003E1B84"/>
    <w:rsid w:val="003E492D"/>
    <w:rsid w:val="003E5079"/>
    <w:rsid w:val="003E5CB5"/>
    <w:rsid w:val="003E7586"/>
    <w:rsid w:val="003F03AF"/>
    <w:rsid w:val="003F624E"/>
    <w:rsid w:val="003F64AF"/>
    <w:rsid w:val="0040202F"/>
    <w:rsid w:val="0041134B"/>
    <w:rsid w:val="00411F5D"/>
    <w:rsid w:val="004122B3"/>
    <w:rsid w:val="00413ADF"/>
    <w:rsid w:val="00415ADC"/>
    <w:rsid w:val="00416085"/>
    <w:rsid w:val="00421925"/>
    <w:rsid w:val="00425FAF"/>
    <w:rsid w:val="0042731E"/>
    <w:rsid w:val="00435D16"/>
    <w:rsid w:val="00436079"/>
    <w:rsid w:val="00441676"/>
    <w:rsid w:val="00445AEA"/>
    <w:rsid w:val="00445DFF"/>
    <w:rsid w:val="004473B8"/>
    <w:rsid w:val="00450EB5"/>
    <w:rsid w:val="00453AD5"/>
    <w:rsid w:val="00453ED4"/>
    <w:rsid w:val="00454EF3"/>
    <w:rsid w:val="00457F15"/>
    <w:rsid w:val="00461E0A"/>
    <w:rsid w:val="00462248"/>
    <w:rsid w:val="00463580"/>
    <w:rsid w:val="0046551F"/>
    <w:rsid w:val="00467034"/>
    <w:rsid w:val="004670BF"/>
    <w:rsid w:val="00470001"/>
    <w:rsid w:val="004723A6"/>
    <w:rsid w:val="004758FB"/>
    <w:rsid w:val="00477F05"/>
    <w:rsid w:val="00480A71"/>
    <w:rsid w:val="004811C9"/>
    <w:rsid w:val="0048151F"/>
    <w:rsid w:val="00483E38"/>
    <w:rsid w:val="00484504"/>
    <w:rsid w:val="004908F0"/>
    <w:rsid w:val="004A5AFA"/>
    <w:rsid w:val="004A6D0D"/>
    <w:rsid w:val="004B1F26"/>
    <w:rsid w:val="004B530E"/>
    <w:rsid w:val="004B5790"/>
    <w:rsid w:val="004C3E5D"/>
    <w:rsid w:val="004C4135"/>
    <w:rsid w:val="004C5A1C"/>
    <w:rsid w:val="004C6C95"/>
    <w:rsid w:val="004C70AF"/>
    <w:rsid w:val="004C7FA4"/>
    <w:rsid w:val="004D3C03"/>
    <w:rsid w:val="004D4B96"/>
    <w:rsid w:val="004D7B35"/>
    <w:rsid w:val="004E1F75"/>
    <w:rsid w:val="004E2354"/>
    <w:rsid w:val="004E2A26"/>
    <w:rsid w:val="004E308B"/>
    <w:rsid w:val="004E37EB"/>
    <w:rsid w:val="004E58FA"/>
    <w:rsid w:val="004F2D4E"/>
    <w:rsid w:val="004F34C8"/>
    <w:rsid w:val="004F4282"/>
    <w:rsid w:val="004F4F2A"/>
    <w:rsid w:val="004F7BFD"/>
    <w:rsid w:val="00500814"/>
    <w:rsid w:val="005016C7"/>
    <w:rsid w:val="005065DB"/>
    <w:rsid w:val="00511600"/>
    <w:rsid w:val="0051303D"/>
    <w:rsid w:val="00513F58"/>
    <w:rsid w:val="00514A8C"/>
    <w:rsid w:val="0051638C"/>
    <w:rsid w:val="00516B8E"/>
    <w:rsid w:val="0051705C"/>
    <w:rsid w:val="0052040A"/>
    <w:rsid w:val="00520622"/>
    <w:rsid w:val="00520949"/>
    <w:rsid w:val="00523A79"/>
    <w:rsid w:val="0052460D"/>
    <w:rsid w:val="00526A37"/>
    <w:rsid w:val="0053480B"/>
    <w:rsid w:val="00546256"/>
    <w:rsid w:val="0054671D"/>
    <w:rsid w:val="00547D1D"/>
    <w:rsid w:val="00550412"/>
    <w:rsid w:val="00552C39"/>
    <w:rsid w:val="005534EE"/>
    <w:rsid w:val="0055441A"/>
    <w:rsid w:val="00554564"/>
    <w:rsid w:val="0056076E"/>
    <w:rsid w:val="005619FD"/>
    <w:rsid w:val="005631F4"/>
    <w:rsid w:val="0056383C"/>
    <w:rsid w:val="00563C3D"/>
    <w:rsid w:val="00565DD1"/>
    <w:rsid w:val="00566274"/>
    <w:rsid w:val="00572AF5"/>
    <w:rsid w:val="0057431F"/>
    <w:rsid w:val="00575B64"/>
    <w:rsid w:val="00576BEC"/>
    <w:rsid w:val="00587D2F"/>
    <w:rsid w:val="00590BB2"/>
    <w:rsid w:val="00593209"/>
    <w:rsid w:val="00594E84"/>
    <w:rsid w:val="00595E76"/>
    <w:rsid w:val="00597CEC"/>
    <w:rsid w:val="005A02F9"/>
    <w:rsid w:val="005A4727"/>
    <w:rsid w:val="005A6ECE"/>
    <w:rsid w:val="005B4175"/>
    <w:rsid w:val="005B5000"/>
    <w:rsid w:val="005B509E"/>
    <w:rsid w:val="005B670F"/>
    <w:rsid w:val="005C1473"/>
    <w:rsid w:val="005C219B"/>
    <w:rsid w:val="005C2935"/>
    <w:rsid w:val="005C79A0"/>
    <w:rsid w:val="005D2155"/>
    <w:rsid w:val="005D47C2"/>
    <w:rsid w:val="005D6834"/>
    <w:rsid w:val="005E021C"/>
    <w:rsid w:val="005E48F7"/>
    <w:rsid w:val="005F4D09"/>
    <w:rsid w:val="005F71A0"/>
    <w:rsid w:val="00600562"/>
    <w:rsid w:val="00601BB1"/>
    <w:rsid w:val="006107D5"/>
    <w:rsid w:val="00610AD1"/>
    <w:rsid w:val="00610B72"/>
    <w:rsid w:val="006128CA"/>
    <w:rsid w:val="00613406"/>
    <w:rsid w:val="00613F4F"/>
    <w:rsid w:val="00614A71"/>
    <w:rsid w:val="006173D5"/>
    <w:rsid w:val="006246B0"/>
    <w:rsid w:val="00624C5A"/>
    <w:rsid w:val="0063203B"/>
    <w:rsid w:val="006374BC"/>
    <w:rsid w:val="006378B9"/>
    <w:rsid w:val="00641693"/>
    <w:rsid w:val="0064588F"/>
    <w:rsid w:val="006460A0"/>
    <w:rsid w:val="00646121"/>
    <w:rsid w:val="006473C1"/>
    <w:rsid w:val="00652ED4"/>
    <w:rsid w:val="00653329"/>
    <w:rsid w:val="00656733"/>
    <w:rsid w:val="00656A71"/>
    <w:rsid w:val="006606FC"/>
    <w:rsid w:val="0066438D"/>
    <w:rsid w:val="00664901"/>
    <w:rsid w:val="006653C5"/>
    <w:rsid w:val="00675C83"/>
    <w:rsid w:val="006777D8"/>
    <w:rsid w:val="00686289"/>
    <w:rsid w:val="00691037"/>
    <w:rsid w:val="0069124B"/>
    <w:rsid w:val="00691900"/>
    <w:rsid w:val="00692210"/>
    <w:rsid w:val="00695466"/>
    <w:rsid w:val="00696AD1"/>
    <w:rsid w:val="006A0BC3"/>
    <w:rsid w:val="006A57FB"/>
    <w:rsid w:val="006A7A5F"/>
    <w:rsid w:val="006B2166"/>
    <w:rsid w:val="006B25DA"/>
    <w:rsid w:val="006B6EA4"/>
    <w:rsid w:val="006B7229"/>
    <w:rsid w:val="006C17A2"/>
    <w:rsid w:val="006C63D6"/>
    <w:rsid w:val="006C69BE"/>
    <w:rsid w:val="006C7F50"/>
    <w:rsid w:val="006D1655"/>
    <w:rsid w:val="006D16D0"/>
    <w:rsid w:val="006D4000"/>
    <w:rsid w:val="006D643F"/>
    <w:rsid w:val="006D6F3F"/>
    <w:rsid w:val="006D7C59"/>
    <w:rsid w:val="006D7DF0"/>
    <w:rsid w:val="006E0B61"/>
    <w:rsid w:val="006E1B34"/>
    <w:rsid w:val="006E592B"/>
    <w:rsid w:val="006E68B5"/>
    <w:rsid w:val="006E7DD7"/>
    <w:rsid w:val="006F3678"/>
    <w:rsid w:val="006F449A"/>
    <w:rsid w:val="006F5F75"/>
    <w:rsid w:val="006F62AE"/>
    <w:rsid w:val="006F7043"/>
    <w:rsid w:val="006F7167"/>
    <w:rsid w:val="00701561"/>
    <w:rsid w:val="00712193"/>
    <w:rsid w:val="00712BD5"/>
    <w:rsid w:val="00712EC3"/>
    <w:rsid w:val="00713C3B"/>
    <w:rsid w:val="00713F38"/>
    <w:rsid w:val="00720F8E"/>
    <w:rsid w:val="00723A67"/>
    <w:rsid w:val="00724116"/>
    <w:rsid w:val="00724976"/>
    <w:rsid w:val="00725DA8"/>
    <w:rsid w:val="007272B6"/>
    <w:rsid w:val="00727352"/>
    <w:rsid w:val="007275F3"/>
    <w:rsid w:val="0072771D"/>
    <w:rsid w:val="00727AFC"/>
    <w:rsid w:val="00731568"/>
    <w:rsid w:val="007318D4"/>
    <w:rsid w:val="007363C6"/>
    <w:rsid w:val="00737737"/>
    <w:rsid w:val="00744CFF"/>
    <w:rsid w:val="00745616"/>
    <w:rsid w:val="00752392"/>
    <w:rsid w:val="00754474"/>
    <w:rsid w:val="00757306"/>
    <w:rsid w:val="00757360"/>
    <w:rsid w:val="00762A95"/>
    <w:rsid w:val="007654BD"/>
    <w:rsid w:val="007662B8"/>
    <w:rsid w:val="00767CCE"/>
    <w:rsid w:val="007704A0"/>
    <w:rsid w:val="00773E99"/>
    <w:rsid w:val="00774F98"/>
    <w:rsid w:val="00775160"/>
    <w:rsid w:val="007772F8"/>
    <w:rsid w:val="007871DD"/>
    <w:rsid w:val="00787446"/>
    <w:rsid w:val="00791B95"/>
    <w:rsid w:val="007A0CA9"/>
    <w:rsid w:val="007A2D20"/>
    <w:rsid w:val="007A3B74"/>
    <w:rsid w:val="007B2750"/>
    <w:rsid w:val="007B3906"/>
    <w:rsid w:val="007B4560"/>
    <w:rsid w:val="007B642D"/>
    <w:rsid w:val="007B6AC7"/>
    <w:rsid w:val="007C2228"/>
    <w:rsid w:val="007C4EB4"/>
    <w:rsid w:val="007C6559"/>
    <w:rsid w:val="007C66FA"/>
    <w:rsid w:val="007D1281"/>
    <w:rsid w:val="007D37C9"/>
    <w:rsid w:val="007D511E"/>
    <w:rsid w:val="007D7198"/>
    <w:rsid w:val="007E2756"/>
    <w:rsid w:val="007F1CD2"/>
    <w:rsid w:val="007F383A"/>
    <w:rsid w:val="007F429C"/>
    <w:rsid w:val="007F43E2"/>
    <w:rsid w:val="007F44A9"/>
    <w:rsid w:val="007F49E4"/>
    <w:rsid w:val="007F6094"/>
    <w:rsid w:val="007F60F2"/>
    <w:rsid w:val="007F61DA"/>
    <w:rsid w:val="007F746A"/>
    <w:rsid w:val="00800D31"/>
    <w:rsid w:val="00805654"/>
    <w:rsid w:val="00810EA4"/>
    <w:rsid w:val="00812990"/>
    <w:rsid w:val="00814A10"/>
    <w:rsid w:val="00815B97"/>
    <w:rsid w:val="0081734E"/>
    <w:rsid w:val="008178B4"/>
    <w:rsid w:val="00821051"/>
    <w:rsid w:val="008216BC"/>
    <w:rsid w:val="008235CB"/>
    <w:rsid w:val="00831F6B"/>
    <w:rsid w:val="008324C8"/>
    <w:rsid w:val="008330B9"/>
    <w:rsid w:val="00836941"/>
    <w:rsid w:val="00847903"/>
    <w:rsid w:val="00854F92"/>
    <w:rsid w:val="008567E9"/>
    <w:rsid w:val="008570FC"/>
    <w:rsid w:val="00861F31"/>
    <w:rsid w:val="00864C6B"/>
    <w:rsid w:val="0086500B"/>
    <w:rsid w:val="00867D05"/>
    <w:rsid w:val="00872FA3"/>
    <w:rsid w:val="00873034"/>
    <w:rsid w:val="0087399A"/>
    <w:rsid w:val="00876803"/>
    <w:rsid w:val="008801E1"/>
    <w:rsid w:val="008838F9"/>
    <w:rsid w:val="008848BF"/>
    <w:rsid w:val="00886691"/>
    <w:rsid w:val="00887EC3"/>
    <w:rsid w:val="0089351F"/>
    <w:rsid w:val="00894B55"/>
    <w:rsid w:val="00894EBD"/>
    <w:rsid w:val="00895DFF"/>
    <w:rsid w:val="00897450"/>
    <w:rsid w:val="008A2DFF"/>
    <w:rsid w:val="008A49DF"/>
    <w:rsid w:val="008A4A28"/>
    <w:rsid w:val="008B01F8"/>
    <w:rsid w:val="008B3484"/>
    <w:rsid w:val="008B3A92"/>
    <w:rsid w:val="008B6E5B"/>
    <w:rsid w:val="008C18FC"/>
    <w:rsid w:val="008C488A"/>
    <w:rsid w:val="008C6309"/>
    <w:rsid w:val="008C7BC0"/>
    <w:rsid w:val="008D369C"/>
    <w:rsid w:val="008D5930"/>
    <w:rsid w:val="008E1211"/>
    <w:rsid w:val="008E2F74"/>
    <w:rsid w:val="008F1824"/>
    <w:rsid w:val="008F4C37"/>
    <w:rsid w:val="008F5918"/>
    <w:rsid w:val="008F6660"/>
    <w:rsid w:val="00906EB3"/>
    <w:rsid w:val="009112DD"/>
    <w:rsid w:val="0091249C"/>
    <w:rsid w:val="009126C7"/>
    <w:rsid w:val="00914B86"/>
    <w:rsid w:val="009151A9"/>
    <w:rsid w:val="00916551"/>
    <w:rsid w:val="00916781"/>
    <w:rsid w:val="00924FEA"/>
    <w:rsid w:val="00931DB9"/>
    <w:rsid w:val="00933BA0"/>
    <w:rsid w:val="009357AD"/>
    <w:rsid w:val="0094400F"/>
    <w:rsid w:val="00944E5E"/>
    <w:rsid w:val="0094633D"/>
    <w:rsid w:val="00951B30"/>
    <w:rsid w:val="0095210D"/>
    <w:rsid w:val="00955CB0"/>
    <w:rsid w:val="00956C24"/>
    <w:rsid w:val="009571D2"/>
    <w:rsid w:val="009621AE"/>
    <w:rsid w:val="00966A9E"/>
    <w:rsid w:val="00971FC2"/>
    <w:rsid w:val="0097230C"/>
    <w:rsid w:val="0097340B"/>
    <w:rsid w:val="009743A3"/>
    <w:rsid w:val="009752DD"/>
    <w:rsid w:val="00976E8A"/>
    <w:rsid w:val="00980635"/>
    <w:rsid w:val="00983A9D"/>
    <w:rsid w:val="00990FAC"/>
    <w:rsid w:val="00994E70"/>
    <w:rsid w:val="0099573D"/>
    <w:rsid w:val="009A0AAE"/>
    <w:rsid w:val="009A2DC1"/>
    <w:rsid w:val="009A56FC"/>
    <w:rsid w:val="009A6466"/>
    <w:rsid w:val="009B41D9"/>
    <w:rsid w:val="009B428D"/>
    <w:rsid w:val="009B5F9C"/>
    <w:rsid w:val="009B75C0"/>
    <w:rsid w:val="009B7B61"/>
    <w:rsid w:val="009B7C1F"/>
    <w:rsid w:val="009C1008"/>
    <w:rsid w:val="009C1624"/>
    <w:rsid w:val="009C1DB8"/>
    <w:rsid w:val="009C4433"/>
    <w:rsid w:val="009C4F9E"/>
    <w:rsid w:val="009C6119"/>
    <w:rsid w:val="009C6B13"/>
    <w:rsid w:val="009D1FC9"/>
    <w:rsid w:val="009D31B2"/>
    <w:rsid w:val="009D7EF4"/>
    <w:rsid w:val="009D7F38"/>
    <w:rsid w:val="009E2623"/>
    <w:rsid w:val="009E2E8D"/>
    <w:rsid w:val="009E460C"/>
    <w:rsid w:val="009E5E5B"/>
    <w:rsid w:val="009E6722"/>
    <w:rsid w:val="009E7D87"/>
    <w:rsid w:val="009F1ACC"/>
    <w:rsid w:val="009F335D"/>
    <w:rsid w:val="009F394C"/>
    <w:rsid w:val="009F48A4"/>
    <w:rsid w:val="009F50F0"/>
    <w:rsid w:val="009F7FF5"/>
    <w:rsid w:val="00A008C1"/>
    <w:rsid w:val="00A024C1"/>
    <w:rsid w:val="00A10D4D"/>
    <w:rsid w:val="00A150C7"/>
    <w:rsid w:val="00A21061"/>
    <w:rsid w:val="00A22602"/>
    <w:rsid w:val="00A26FA2"/>
    <w:rsid w:val="00A3170D"/>
    <w:rsid w:val="00A3421C"/>
    <w:rsid w:val="00A34E1C"/>
    <w:rsid w:val="00A36402"/>
    <w:rsid w:val="00A4510C"/>
    <w:rsid w:val="00A513CD"/>
    <w:rsid w:val="00A51CA8"/>
    <w:rsid w:val="00A51DA2"/>
    <w:rsid w:val="00A55CF5"/>
    <w:rsid w:val="00A60EE8"/>
    <w:rsid w:val="00A613FB"/>
    <w:rsid w:val="00A71A80"/>
    <w:rsid w:val="00A72E08"/>
    <w:rsid w:val="00A7337D"/>
    <w:rsid w:val="00A757D5"/>
    <w:rsid w:val="00A75B1F"/>
    <w:rsid w:val="00A760E4"/>
    <w:rsid w:val="00A772EA"/>
    <w:rsid w:val="00A77933"/>
    <w:rsid w:val="00A77D95"/>
    <w:rsid w:val="00A77F34"/>
    <w:rsid w:val="00A820E3"/>
    <w:rsid w:val="00A82425"/>
    <w:rsid w:val="00A83841"/>
    <w:rsid w:val="00A8415A"/>
    <w:rsid w:val="00A850A7"/>
    <w:rsid w:val="00A863B3"/>
    <w:rsid w:val="00A87739"/>
    <w:rsid w:val="00A9047C"/>
    <w:rsid w:val="00A90A81"/>
    <w:rsid w:val="00A95882"/>
    <w:rsid w:val="00AA0606"/>
    <w:rsid w:val="00AA3268"/>
    <w:rsid w:val="00AA3913"/>
    <w:rsid w:val="00AA56E0"/>
    <w:rsid w:val="00AA602D"/>
    <w:rsid w:val="00AB1CB4"/>
    <w:rsid w:val="00AB2127"/>
    <w:rsid w:val="00AB22DA"/>
    <w:rsid w:val="00AB27DD"/>
    <w:rsid w:val="00AB2C56"/>
    <w:rsid w:val="00AB3BF7"/>
    <w:rsid w:val="00AC434D"/>
    <w:rsid w:val="00AC5D53"/>
    <w:rsid w:val="00AC6DDA"/>
    <w:rsid w:val="00AD0A0E"/>
    <w:rsid w:val="00AD0B65"/>
    <w:rsid w:val="00AD4CCF"/>
    <w:rsid w:val="00AE0897"/>
    <w:rsid w:val="00AE1480"/>
    <w:rsid w:val="00AE2116"/>
    <w:rsid w:val="00AE61E6"/>
    <w:rsid w:val="00AE6970"/>
    <w:rsid w:val="00AF0FBB"/>
    <w:rsid w:val="00AF1F5D"/>
    <w:rsid w:val="00B0105E"/>
    <w:rsid w:val="00B0271D"/>
    <w:rsid w:val="00B0336B"/>
    <w:rsid w:val="00B0447E"/>
    <w:rsid w:val="00B05A81"/>
    <w:rsid w:val="00B1100B"/>
    <w:rsid w:val="00B1739A"/>
    <w:rsid w:val="00B201EA"/>
    <w:rsid w:val="00B21EA3"/>
    <w:rsid w:val="00B2407B"/>
    <w:rsid w:val="00B2484F"/>
    <w:rsid w:val="00B258DF"/>
    <w:rsid w:val="00B2719D"/>
    <w:rsid w:val="00B3054B"/>
    <w:rsid w:val="00B36176"/>
    <w:rsid w:val="00B41BDF"/>
    <w:rsid w:val="00B42BA9"/>
    <w:rsid w:val="00B43466"/>
    <w:rsid w:val="00B45C17"/>
    <w:rsid w:val="00B4703E"/>
    <w:rsid w:val="00B4770B"/>
    <w:rsid w:val="00B505EC"/>
    <w:rsid w:val="00B50858"/>
    <w:rsid w:val="00B5194E"/>
    <w:rsid w:val="00B51AD5"/>
    <w:rsid w:val="00B55D38"/>
    <w:rsid w:val="00B55D44"/>
    <w:rsid w:val="00B6226D"/>
    <w:rsid w:val="00B63034"/>
    <w:rsid w:val="00B635DC"/>
    <w:rsid w:val="00B63964"/>
    <w:rsid w:val="00B63D07"/>
    <w:rsid w:val="00B649CF"/>
    <w:rsid w:val="00B64E62"/>
    <w:rsid w:val="00B65442"/>
    <w:rsid w:val="00B67397"/>
    <w:rsid w:val="00B715C3"/>
    <w:rsid w:val="00B720B3"/>
    <w:rsid w:val="00B7551E"/>
    <w:rsid w:val="00B756DC"/>
    <w:rsid w:val="00B803E8"/>
    <w:rsid w:val="00B80DDD"/>
    <w:rsid w:val="00B8162C"/>
    <w:rsid w:val="00B82107"/>
    <w:rsid w:val="00B82C00"/>
    <w:rsid w:val="00B84880"/>
    <w:rsid w:val="00B85494"/>
    <w:rsid w:val="00B85845"/>
    <w:rsid w:val="00B864EE"/>
    <w:rsid w:val="00B86AEE"/>
    <w:rsid w:val="00B86C4C"/>
    <w:rsid w:val="00B906F4"/>
    <w:rsid w:val="00B91A44"/>
    <w:rsid w:val="00B935B1"/>
    <w:rsid w:val="00B9682A"/>
    <w:rsid w:val="00B96AB2"/>
    <w:rsid w:val="00BA03E0"/>
    <w:rsid w:val="00BA114E"/>
    <w:rsid w:val="00BA1D8B"/>
    <w:rsid w:val="00BA22F1"/>
    <w:rsid w:val="00BA2FF1"/>
    <w:rsid w:val="00BA41B7"/>
    <w:rsid w:val="00BB1CF6"/>
    <w:rsid w:val="00BB519E"/>
    <w:rsid w:val="00BB7761"/>
    <w:rsid w:val="00BC0833"/>
    <w:rsid w:val="00BC2A46"/>
    <w:rsid w:val="00BC3028"/>
    <w:rsid w:val="00BC6644"/>
    <w:rsid w:val="00BC66A8"/>
    <w:rsid w:val="00BD1EEE"/>
    <w:rsid w:val="00BE042E"/>
    <w:rsid w:val="00BE347E"/>
    <w:rsid w:val="00BE4D43"/>
    <w:rsid w:val="00BE7EEE"/>
    <w:rsid w:val="00BF00CC"/>
    <w:rsid w:val="00BF5C72"/>
    <w:rsid w:val="00BF6495"/>
    <w:rsid w:val="00C002ED"/>
    <w:rsid w:val="00C0227C"/>
    <w:rsid w:val="00C0444C"/>
    <w:rsid w:val="00C0593D"/>
    <w:rsid w:val="00C06C1D"/>
    <w:rsid w:val="00C0758E"/>
    <w:rsid w:val="00C12A65"/>
    <w:rsid w:val="00C12E94"/>
    <w:rsid w:val="00C13EB0"/>
    <w:rsid w:val="00C217E7"/>
    <w:rsid w:val="00C2180B"/>
    <w:rsid w:val="00C23BD1"/>
    <w:rsid w:val="00C25544"/>
    <w:rsid w:val="00C25CAD"/>
    <w:rsid w:val="00C26B85"/>
    <w:rsid w:val="00C2769E"/>
    <w:rsid w:val="00C339FF"/>
    <w:rsid w:val="00C427F2"/>
    <w:rsid w:val="00C4306E"/>
    <w:rsid w:val="00C43632"/>
    <w:rsid w:val="00C46F07"/>
    <w:rsid w:val="00C505E9"/>
    <w:rsid w:val="00C51627"/>
    <w:rsid w:val="00C525CE"/>
    <w:rsid w:val="00C54D57"/>
    <w:rsid w:val="00C560EA"/>
    <w:rsid w:val="00C615C9"/>
    <w:rsid w:val="00C62174"/>
    <w:rsid w:val="00C631B7"/>
    <w:rsid w:val="00C632E9"/>
    <w:rsid w:val="00C657AA"/>
    <w:rsid w:val="00C66679"/>
    <w:rsid w:val="00C70A91"/>
    <w:rsid w:val="00C70CA7"/>
    <w:rsid w:val="00C7252C"/>
    <w:rsid w:val="00C7366B"/>
    <w:rsid w:val="00C7574B"/>
    <w:rsid w:val="00C757A2"/>
    <w:rsid w:val="00C757F0"/>
    <w:rsid w:val="00C75EA8"/>
    <w:rsid w:val="00C767D2"/>
    <w:rsid w:val="00C77EAF"/>
    <w:rsid w:val="00C81EB7"/>
    <w:rsid w:val="00C83ACC"/>
    <w:rsid w:val="00C85AB4"/>
    <w:rsid w:val="00C866D0"/>
    <w:rsid w:val="00C87619"/>
    <w:rsid w:val="00C920D7"/>
    <w:rsid w:val="00C946E8"/>
    <w:rsid w:val="00CA18F6"/>
    <w:rsid w:val="00CA42B3"/>
    <w:rsid w:val="00CB1582"/>
    <w:rsid w:val="00CC0E52"/>
    <w:rsid w:val="00CC17CC"/>
    <w:rsid w:val="00CC65DB"/>
    <w:rsid w:val="00CD01AC"/>
    <w:rsid w:val="00CD44B9"/>
    <w:rsid w:val="00CD5001"/>
    <w:rsid w:val="00CD672C"/>
    <w:rsid w:val="00CD716A"/>
    <w:rsid w:val="00CE34E8"/>
    <w:rsid w:val="00CE35AB"/>
    <w:rsid w:val="00CE3919"/>
    <w:rsid w:val="00CE3CF3"/>
    <w:rsid w:val="00CE608C"/>
    <w:rsid w:val="00CE770B"/>
    <w:rsid w:val="00CF1F1E"/>
    <w:rsid w:val="00CF464C"/>
    <w:rsid w:val="00CF537E"/>
    <w:rsid w:val="00CF567C"/>
    <w:rsid w:val="00CF6EDE"/>
    <w:rsid w:val="00D006E2"/>
    <w:rsid w:val="00D01440"/>
    <w:rsid w:val="00D01BA2"/>
    <w:rsid w:val="00D03FDD"/>
    <w:rsid w:val="00D04806"/>
    <w:rsid w:val="00D13EC5"/>
    <w:rsid w:val="00D16B96"/>
    <w:rsid w:val="00D25728"/>
    <w:rsid w:val="00D26367"/>
    <w:rsid w:val="00D2757C"/>
    <w:rsid w:val="00D30842"/>
    <w:rsid w:val="00D332AE"/>
    <w:rsid w:val="00D33AD4"/>
    <w:rsid w:val="00D33F60"/>
    <w:rsid w:val="00D34177"/>
    <w:rsid w:val="00D342F5"/>
    <w:rsid w:val="00D36B2B"/>
    <w:rsid w:val="00D44CD3"/>
    <w:rsid w:val="00D47659"/>
    <w:rsid w:val="00D47D64"/>
    <w:rsid w:val="00D53CF1"/>
    <w:rsid w:val="00D6087B"/>
    <w:rsid w:val="00D63254"/>
    <w:rsid w:val="00D63669"/>
    <w:rsid w:val="00D636DE"/>
    <w:rsid w:val="00D63F98"/>
    <w:rsid w:val="00D6421D"/>
    <w:rsid w:val="00D744EC"/>
    <w:rsid w:val="00D75357"/>
    <w:rsid w:val="00D76ABA"/>
    <w:rsid w:val="00D81634"/>
    <w:rsid w:val="00D858A3"/>
    <w:rsid w:val="00D85E8A"/>
    <w:rsid w:val="00D914AB"/>
    <w:rsid w:val="00D915D9"/>
    <w:rsid w:val="00D92B80"/>
    <w:rsid w:val="00D92C8A"/>
    <w:rsid w:val="00D9516A"/>
    <w:rsid w:val="00D955EA"/>
    <w:rsid w:val="00D969B8"/>
    <w:rsid w:val="00DA3BCF"/>
    <w:rsid w:val="00DA4351"/>
    <w:rsid w:val="00DB081A"/>
    <w:rsid w:val="00DB189C"/>
    <w:rsid w:val="00DB3A3B"/>
    <w:rsid w:val="00DB3CF1"/>
    <w:rsid w:val="00DC3989"/>
    <w:rsid w:val="00DC406B"/>
    <w:rsid w:val="00DC6DCF"/>
    <w:rsid w:val="00DD20BF"/>
    <w:rsid w:val="00DD3E7F"/>
    <w:rsid w:val="00DD451F"/>
    <w:rsid w:val="00DE4503"/>
    <w:rsid w:val="00DE489A"/>
    <w:rsid w:val="00DF10D4"/>
    <w:rsid w:val="00DF16B7"/>
    <w:rsid w:val="00DF3B23"/>
    <w:rsid w:val="00DF55D9"/>
    <w:rsid w:val="00DF6E25"/>
    <w:rsid w:val="00DF7739"/>
    <w:rsid w:val="00E0067D"/>
    <w:rsid w:val="00E03C17"/>
    <w:rsid w:val="00E04473"/>
    <w:rsid w:val="00E04648"/>
    <w:rsid w:val="00E058F3"/>
    <w:rsid w:val="00E074FF"/>
    <w:rsid w:val="00E07ED7"/>
    <w:rsid w:val="00E13A50"/>
    <w:rsid w:val="00E15906"/>
    <w:rsid w:val="00E2019E"/>
    <w:rsid w:val="00E203C6"/>
    <w:rsid w:val="00E20906"/>
    <w:rsid w:val="00E209E9"/>
    <w:rsid w:val="00E2433C"/>
    <w:rsid w:val="00E25417"/>
    <w:rsid w:val="00E26B15"/>
    <w:rsid w:val="00E32FF6"/>
    <w:rsid w:val="00E332FC"/>
    <w:rsid w:val="00E33DDC"/>
    <w:rsid w:val="00E34485"/>
    <w:rsid w:val="00E34848"/>
    <w:rsid w:val="00E42728"/>
    <w:rsid w:val="00E46A5C"/>
    <w:rsid w:val="00E5255D"/>
    <w:rsid w:val="00E60CAF"/>
    <w:rsid w:val="00E61133"/>
    <w:rsid w:val="00E61DAF"/>
    <w:rsid w:val="00E62DE0"/>
    <w:rsid w:val="00E65899"/>
    <w:rsid w:val="00E664DD"/>
    <w:rsid w:val="00E67292"/>
    <w:rsid w:val="00E67348"/>
    <w:rsid w:val="00E67570"/>
    <w:rsid w:val="00E677FE"/>
    <w:rsid w:val="00E73180"/>
    <w:rsid w:val="00E74B6F"/>
    <w:rsid w:val="00E76639"/>
    <w:rsid w:val="00E812E6"/>
    <w:rsid w:val="00E84F3C"/>
    <w:rsid w:val="00E8777E"/>
    <w:rsid w:val="00E9430D"/>
    <w:rsid w:val="00E96E2A"/>
    <w:rsid w:val="00EA0B61"/>
    <w:rsid w:val="00EA125D"/>
    <w:rsid w:val="00EA2683"/>
    <w:rsid w:val="00EA54E5"/>
    <w:rsid w:val="00EA7FA6"/>
    <w:rsid w:val="00EB0BD9"/>
    <w:rsid w:val="00EB1192"/>
    <w:rsid w:val="00EB21A2"/>
    <w:rsid w:val="00EB2735"/>
    <w:rsid w:val="00EB4163"/>
    <w:rsid w:val="00EB4805"/>
    <w:rsid w:val="00EB69E0"/>
    <w:rsid w:val="00EC3731"/>
    <w:rsid w:val="00EC51C5"/>
    <w:rsid w:val="00EC536E"/>
    <w:rsid w:val="00EC54A6"/>
    <w:rsid w:val="00EC5E95"/>
    <w:rsid w:val="00EC686C"/>
    <w:rsid w:val="00EC7288"/>
    <w:rsid w:val="00ED022F"/>
    <w:rsid w:val="00ED327B"/>
    <w:rsid w:val="00EE5B54"/>
    <w:rsid w:val="00EF2CB1"/>
    <w:rsid w:val="00EF2FDB"/>
    <w:rsid w:val="00EF4A33"/>
    <w:rsid w:val="00EF5879"/>
    <w:rsid w:val="00EF5BBA"/>
    <w:rsid w:val="00EF661D"/>
    <w:rsid w:val="00EF68C4"/>
    <w:rsid w:val="00F015A5"/>
    <w:rsid w:val="00F021C4"/>
    <w:rsid w:val="00F039DF"/>
    <w:rsid w:val="00F05AE9"/>
    <w:rsid w:val="00F07282"/>
    <w:rsid w:val="00F11E6B"/>
    <w:rsid w:val="00F12916"/>
    <w:rsid w:val="00F12B44"/>
    <w:rsid w:val="00F13CE6"/>
    <w:rsid w:val="00F14751"/>
    <w:rsid w:val="00F15315"/>
    <w:rsid w:val="00F157C0"/>
    <w:rsid w:val="00F15D77"/>
    <w:rsid w:val="00F1776D"/>
    <w:rsid w:val="00F22D3C"/>
    <w:rsid w:val="00F31392"/>
    <w:rsid w:val="00F31AA7"/>
    <w:rsid w:val="00F32903"/>
    <w:rsid w:val="00F33488"/>
    <w:rsid w:val="00F37D78"/>
    <w:rsid w:val="00F40125"/>
    <w:rsid w:val="00F45B47"/>
    <w:rsid w:val="00F4743B"/>
    <w:rsid w:val="00F51616"/>
    <w:rsid w:val="00F53AFD"/>
    <w:rsid w:val="00F54CD0"/>
    <w:rsid w:val="00F551C7"/>
    <w:rsid w:val="00F56C6A"/>
    <w:rsid w:val="00F625AA"/>
    <w:rsid w:val="00F668E5"/>
    <w:rsid w:val="00F66A17"/>
    <w:rsid w:val="00F66D9F"/>
    <w:rsid w:val="00F67EBA"/>
    <w:rsid w:val="00F711E5"/>
    <w:rsid w:val="00F713EB"/>
    <w:rsid w:val="00F71F2E"/>
    <w:rsid w:val="00F7462C"/>
    <w:rsid w:val="00F75036"/>
    <w:rsid w:val="00F800EB"/>
    <w:rsid w:val="00F82AC3"/>
    <w:rsid w:val="00F83FE6"/>
    <w:rsid w:val="00F84120"/>
    <w:rsid w:val="00F866FC"/>
    <w:rsid w:val="00F900B7"/>
    <w:rsid w:val="00F93E13"/>
    <w:rsid w:val="00F9623A"/>
    <w:rsid w:val="00F97244"/>
    <w:rsid w:val="00FA1C48"/>
    <w:rsid w:val="00FA21D9"/>
    <w:rsid w:val="00FA380E"/>
    <w:rsid w:val="00FA47F1"/>
    <w:rsid w:val="00FA5421"/>
    <w:rsid w:val="00FA5C6A"/>
    <w:rsid w:val="00FA6E1F"/>
    <w:rsid w:val="00FA7CA5"/>
    <w:rsid w:val="00FB1C48"/>
    <w:rsid w:val="00FB50D7"/>
    <w:rsid w:val="00FB619E"/>
    <w:rsid w:val="00FB7469"/>
    <w:rsid w:val="00FC0A13"/>
    <w:rsid w:val="00FC3623"/>
    <w:rsid w:val="00FC38FB"/>
    <w:rsid w:val="00FC7FA7"/>
    <w:rsid w:val="00FD195D"/>
    <w:rsid w:val="00FD27F6"/>
    <w:rsid w:val="00FD4EC2"/>
    <w:rsid w:val="00FD7906"/>
    <w:rsid w:val="00FE0A79"/>
    <w:rsid w:val="00FE1201"/>
    <w:rsid w:val="00FE1E26"/>
    <w:rsid w:val="00FE48CD"/>
    <w:rsid w:val="00FE647F"/>
    <w:rsid w:val="00FE7EBA"/>
    <w:rsid w:val="00FE7F58"/>
    <w:rsid w:val="00FF1920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A3F5-2C64-43E9-909D-6E5A676E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D7"/>
    <w:pPr>
      <w:ind w:left="720"/>
      <w:contextualSpacing/>
    </w:pPr>
  </w:style>
  <w:style w:type="character" w:customStyle="1" w:styleId="extended-textshort">
    <w:name w:val="extended-text__short"/>
    <w:basedOn w:val="a0"/>
    <w:rsid w:val="001A46D7"/>
  </w:style>
  <w:style w:type="paragraph" w:styleId="a4">
    <w:name w:val="header"/>
    <w:basedOn w:val="a"/>
    <w:link w:val="a5"/>
    <w:uiPriority w:val="99"/>
    <w:unhideWhenUsed/>
    <w:rsid w:val="00563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3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3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3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B1C48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5C79A0"/>
    <w:rPr>
      <w:color w:val="0000FF"/>
      <w:u w:val="single"/>
    </w:rPr>
  </w:style>
  <w:style w:type="paragraph" w:customStyle="1" w:styleId="s1">
    <w:name w:val="s_1"/>
    <w:basedOn w:val="a"/>
    <w:rsid w:val="005C79A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Placeholder Text"/>
    <w:basedOn w:val="a0"/>
    <w:uiPriority w:val="99"/>
    <w:semiHidden/>
    <w:rsid w:val="008838F9"/>
    <w:rPr>
      <w:color w:val="808080"/>
    </w:rPr>
  </w:style>
  <w:style w:type="character" w:customStyle="1" w:styleId="ad">
    <w:name w:val="Гипертекстовая ссылка"/>
    <w:basedOn w:val="a0"/>
    <w:uiPriority w:val="99"/>
    <w:rsid w:val="009C6B1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7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3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2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3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1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35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845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7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181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70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69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internet.garant.ru/document/redirect/72084212/11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internet.garant.ru/document/redirect/72084212/11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084212/115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Ожева Саида Руслановна</dc:creator>
  <cp:keywords/>
  <dc:description/>
  <cp:lastModifiedBy>Ожева Саида Руслановна</cp:lastModifiedBy>
  <cp:revision>2</cp:revision>
  <cp:lastPrinted>2023-08-21T06:21:00Z</cp:lastPrinted>
  <dcterms:created xsi:type="dcterms:W3CDTF">2023-08-30T13:38:00Z</dcterms:created>
  <dcterms:modified xsi:type="dcterms:W3CDTF">2023-08-30T13:38:00Z</dcterms:modified>
</cp:coreProperties>
</file>